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92AB" w14:textId="3CC1CE18" w:rsidR="008A24F7" w:rsidRPr="00F10EFE" w:rsidRDefault="008A24F7" w:rsidP="00B863F1">
      <w:pPr>
        <w:pStyle w:val="Prrafodelista"/>
        <w:numPr>
          <w:ilvl w:val="0"/>
          <w:numId w:val="2"/>
        </w:numPr>
        <w:ind w:left="426" w:hanging="426"/>
        <w:rPr>
          <w:rFonts w:ascii="Verdana" w:hAnsi="Verdana" w:cs="Arial"/>
          <w:bCs/>
          <w:sz w:val="22"/>
          <w:szCs w:val="22"/>
        </w:rPr>
      </w:pPr>
      <w:r w:rsidRPr="00F10EFE">
        <w:rPr>
          <w:rFonts w:ascii="Verdana" w:hAnsi="Verdana" w:cs="Arial"/>
          <w:b/>
          <w:sz w:val="22"/>
          <w:szCs w:val="22"/>
        </w:rPr>
        <w:t>OBJETIVO</w:t>
      </w:r>
      <w:r w:rsidR="00145387" w:rsidRPr="00F10EFE">
        <w:rPr>
          <w:rFonts w:ascii="Verdana" w:hAnsi="Verdana" w:cs="Arial"/>
          <w:b/>
          <w:sz w:val="22"/>
          <w:szCs w:val="22"/>
        </w:rPr>
        <w:t xml:space="preserve">: </w:t>
      </w:r>
      <w:r w:rsidR="00145387" w:rsidRPr="00F10EFE">
        <w:rPr>
          <w:rFonts w:ascii="Verdana" w:hAnsi="Verdana" w:cs="Arial"/>
          <w:bCs/>
          <w:sz w:val="22"/>
          <w:szCs w:val="22"/>
        </w:rPr>
        <w:t xml:space="preserve">Proporcionar </w:t>
      </w:r>
      <w:r w:rsidR="005805B2" w:rsidRPr="00F10EFE">
        <w:rPr>
          <w:rFonts w:ascii="Verdana" w:hAnsi="Verdana" w:cs="Arial"/>
          <w:bCs/>
          <w:sz w:val="22"/>
          <w:szCs w:val="22"/>
        </w:rPr>
        <w:t xml:space="preserve">las </w:t>
      </w:r>
      <w:r w:rsidR="00145387" w:rsidRPr="00F10EFE">
        <w:rPr>
          <w:rFonts w:ascii="Verdana" w:hAnsi="Verdana" w:cs="Arial"/>
          <w:bCs/>
          <w:sz w:val="22"/>
          <w:szCs w:val="22"/>
        </w:rPr>
        <w:t>indicaciones</w:t>
      </w:r>
      <w:r w:rsidR="005805B2" w:rsidRPr="00F10EFE">
        <w:rPr>
          <w:rFonts w:ascii="Verdana" w:hAnsi="Verdana" w:cs="Arial"/>
          <w:bCs/>
          <w:sz w:val="22"/>
          <w:szCs w:val="22"/>
        </w:rPr>
        <w:t xml:space="preserve"> necesarias para realizar el Estudio de Viabilidad Técnica Artículo </w:t>
      </w:r>
      <w:r w:rsidR="00B35A8C" w:rsidRPr="00F10EFE">
        <w:rPr>
          <w:rFonts w:ascii="Verdana" w:hAnsi="Verdana" w:cs="Arial"/>
          <w:bCs/>
          <w:sz w:val="22"/>
          <w:szCs w:val="22"/>
        </w:rPr>
        <w:t xml:space="preserve">2° de la Ley 1001 de 2005 </w:t>
      </w:r>
      <w:r w:rsidR="005805B2" w:rsidRPr="00F10EFE">
        <w:rPr>
          <w:rFonts w:ascii="Verdana" w:hAnsi="Verdana" w:cs="Arial"/>
          <w:bCs/>
          <w:sz w:val="22"/>
          <w:szCs w:val="22"/>
        </w:rPr>
        <w:t xml:space="preserve">y registrar los resultados en </w:t>
      </w:r>
      <w:r w:rsidR="00145387" w:rsidRPr="00F10EFE">
        <w:rPr>
          <w:rFonts w:ascii="Verdana" w:hAnsi="Verdana" w:cs="Arial"/>
          <w:bCs/>
          <w:sz w:val="22"/>
          <w:szCs w:val="22"/>
        </w:rPr>
        <w:t>el Formato GPV-F-</w:t>
      </w:r>
      <w:r w:rsidR="00B35A8C" w:rsidRPr="00F10EFE">
        <w:rPr>
          <w:rFonts w:ascii="Verdana" w:hAnsi="Verdana" w:cs="Arial"/>
          <w:bCs/>
          <w:sz w:val="22"/>
          <w:szCs w:val="22"/>
        </w:rPr>
        <w:t>2</w:t>
      </w:r>
      <w:r w:rsidR="00145387" w:rsidRPr="00F10EFE">
        <w:rPr>
          <w:rFonts w:ascii="Verdana" w:hAnsi="Verdana" w:cs="Arial"/>
          <w:bCs/>
          <w:sz w:val="22"/>
          <w:szCs w:val="22"/>
        </w:rPr>
        <w:t xml:space="preserve">8 </w:t>
      </w:r>
      <w:r w:rsidR="005805B2" w:rsidRPr="00F10EFE">
        <w:rPr>
          <w:rFonts w:ascii="Verdana" w:hAnsi="Verdana" w:cs="Arial"/>
          <w:bCs/>
          <w:sz w:val="22"/>
          <w:szCs w:val="22"/>
        </w:rPr>
        <w:t xml:space="preserve">como soporte requerido para </w:t>
      </w:r>
      <w:r w:rsidR="00145387" w:rsidRPr="00F10EFE">
        <w:rPr>
          <w:rFonts w:ascii="Verdana" w:hAnsi="Verdana" w:cs="Arial"/>
          <w:bCs/>
          <w:sz w:val="22"/>
          <w:szCs w:val="22"/>
        </w:rPr>
        <w:t>continuar con el procedimiento de cesión a titulo gratuito del bien fiscal de los extintos ICT-INURBE.</w:t>
      </w:r>
    </w:p>
    <w:p w14:paraId="238097AB" w14:textId="77777777" w:rsidR="00FE5951" w:rsidRPr="00F10EFE" w:rsidRDefault="00FE5951" w:rsidP="00F10EFE">
      <w:pPr>
        <w:pStyle w:val="Prrafodelista"/>
        <w:ind w:left="720"/>
        <w:rPr>
          <w:rFonts w:ascii="Verdana" w:hAnsi="Verdana" w:cs="Arial"/>
          <w:bCs/>
          <w:sz w:val="22"/>
          <w:szCs w:val="22"/>
        </w:rPr>
      </w:pPr>
    </w:p>
    <w:p w14:paraId="633D13B9" w14:textId="1B2A3AB4" w:rsidR="00FE5951" w:rsidRPr="00F10EFE" w:rsidRDefault="00FE5951" w:rsidP="00B863F1">
      <w:pPr>
        <w:pStyle w:val="Prrafodelista"/>
        <w:numPr>
          <w:ilvl w:val="0"/>
          <w:numId w:val="2"/>
        </w:numPr>
        <w:ind w:left="426" w:hanging="426"/>
        <w:rPr>
          <w:rFonts w:ascii="Verdana" w:hAnsi="Verdana" w:cs="Arial"/>
          <w:bCs/>
          <w:sz w:val="22"/>
          <w:szCs w:val="22"/>
        </w:rPr>
      </w:pPr>
      <w:r w:rsidRPr="00F10EFE">
        <w:rPr>
          <w:rFonts w:ascii="Verdana" w:hAnsi="Verdana" w:cs="Arial"/>
          <w:b/>
          <w:sz w:val="22"/>
          <w:szCs w:val="22"/>
        </w:rPr>
        <w:t>DEFINICIONES</w:t>
      </w:r>
    </w:p>
    <w:p w14:paraId="783A01AA" w14:textId="77777777" w:rsidR="00B35A8C" w:rsidRPr="00F10EFE" w:rsidRDefault="00B35A8C" w:rsidP="00F10EFE">
      <w:pPr>
        <w:keepLines/>
        <w:widowControl w:val="0"/>
        <w:suppressLineNumbers/>
        <w:suppressAutoHyphens/>
        <w:outlineLvl w:val="0"/>
        <w:rPr>
          <w:rFonts w:ascii="Verdana" w:hAnsi="Verdana" w:cs="Arial"/>
          <w:sz w:val="22"/>
          <w:szCs w:val="22"/>
        </w:rPr>
      </w:pPr>
    </w:p>
    <w:p w14:paraId="64682725" w14:textId="77777777" w:rsidR="00B35A8C" w:rsidRDefault="00B35A8C" w:rsidP="00567F27">
      <w:pPr>
        <w:ind w:left="426"/>
        <w:rPr>
          <w:rFonts w:ascii="Verdana" w:hAnsi="Verdana" w:cs="Arial"/>
          <w:sz w:val="22"/>
          <w:szCs w:val="22"/>
        </w:rPr>
      </w:pPr>
      <w:r w:rsidRPr="00567F27">
        <w:rPr>
          <w:rFonts w:ascii="Verdana" w:hAnsi="Verdana" w:cs="Arial"/>
          <w:b/>
          <w:sz w:val="22"/>
          <w:szCs w:val="22"/>
        </w:rPr>
        <w:t>Amenaza:</w:t>
      </w:r>
      <w:r w:rsidRPr="00567F27">
        <w:rPr>
          <w:rFonts w:ascii="Verdana" w:hAnsi="Verdana" w:cs="Arial"/>
          <w:sz w:val="22"/>
          <w:szCs w:val="22"/>
        </w:rPr>
        <w:t xml:space="preserve"> “Peligro latente de que un evento físico de origen natural, o causado, o inducido por la acción humana de manera accidental, se presente con una severidad suficiente para causar pérdida de vidas, lesiones u otros impactos en la salud, así como también daños y pérdidas en los bienes, la infraestructura, los medios de sustento, la prestación de servicios y los recursos ambientales”.</w:t>
      </w:r>
    </w:p>
    <w:p w14:paraId="02EEFAE4" w14:textId="77777777" w:rsidR="00567F27" w:rsidRPr="00567F27" w:rsidRDefault="00567F27" w:rsidP="00567F27">
      <w:pPr>
        <w:ind w:left="426"/>
        <w:rPr>
          <w:rFonts w:ascii="Verdana" w:hAnsi="Verdana" w:cs="Arial"/>
          <w:sz w:val="22"/>
          <w:szCs w:val="22"/>
        </w:rPr>
      </w:pPr>
    </w:p>
    <w:p w14:paraId="48979DF9" w14:textId="77777777" w:rsidR="00567F27" w:rsidRDefault="00B35A8C" w:rsidP="00567F27">
      <w:pPr>
        <w:ind w:left="426"/>
        <w:rPr>
          <w:rFonts w:ascii="Verdana" w:hAnsi="Verdana" w:cs="Arial"/>
          <w:sz w:val="22"/>
          <w:szCs w:val="22"/>
        </w:rPr>
      </w:pPr>
      <w:r w:rsidRPr="00567F27">
        <w:rPr>
          <w:rFonts w:ascii="Verdana" w:hAnsi="Verdana" w:cs="Arial"/>
          <w:b/>
          <w:sz w:val="22"/>
          <w:szCs w:val="22"/>
        </w:rPr>
        <w:t>Aplicativo ICT – INURBE:</w:t>
      </w:r>
      <w:r w:rsidRPr="00567F27">
        <w:rPr>
          <w:rFonts w:ascii="Verdana" w:hAnsi="Verdana" w:cs="Arial"/>
          <w:sz w:val="22"/>
          <w:szCs w:val="22"/>
        </w:rPr>
        <w:t xml:space="preserve"> Sistema de información que contiene el histórico de la gestión adelantada sobre los predios de los extintos Instituto de Crédito Territorial – ICT e Instituto Nacional de Vivienda de Interés Social y Reforma Urbana – INURBE y en el cual se realizan las consultas relativas al estado del trámite.</w:t>
      </w:r>
    </w:p>
    <w:p w14:paraId="016C462C" w14:textId="77777777" w:rsidR="00567F27" w:rsidRDefault="00567F27" w:rsidP="00567F27">
      <w:pPr>
        <w:ind w:left="426"/>
        <w:rPr>
          <w:rFonts w:ascii="Verdana" w:hAnsi="Verdana" w:cs="Arial"/>
          <w:b/>
          <w:sz w:val="22"/>
          <w:szCs w:val="22"/>
        </w:rPr>
      </w:pPr>
    </w:p>
    <w:p w14:paraId="0A4BE9FE" w14:textId="77777777" w:rsidR="00567F27" w:rsidRDefault="00B35A8C" w:rsidP="00567F27">
      <w:pPr>
        <w:ind w:left="426"/>
        <w:rPr>
          <w:rFonts w:ascii="Verdana" w:hAnsi="Verdana" w:cs="Arial"/>
          <w:sz w:val="22"/>
          <w:szCs w:val="22"/>
        </w:rPr>
      </w:pPr>
      <w:r w:rsidRPr="00567F27">
        <w:rPr>
          <w:rFonts w:ascii="Verdana" w:hAnsi="Verdana" w:cs="Arial"/>
          <w:b/>
          <w:sz w:val="22"/>
          <w:szCs w:val="22"/>
        </w:rPr>
        <w:t>Base de datos catastral</w:t>
      </w:r>
      <w:r w:rsidRPr="00567F27">
        <w:rPr>
          <w:rFonts w:ascii="Verdana" w:hAnsi="Verdana" w:cs="Arial"/>
          <w:sz w:val="22"/>
          <w:szCs w:val="22"/>
        </w:rPr>
        <w:t>: es el “compendio de la información alfanumérica y gráfica referente a los aspectos físicos, jurídicos y económicos de los predios inscritos en el catastro”.</w:t>
      </w:r>
    </w:p>
    <w:p w14:paraId="7DD7D7A9" w14:textId="77777777" w:rsidR="00567F27" w:rsidRDefault="00567F27" w:rsidP="00567F27">
      <w:pPr>
        <w:ind w:left="426"/>
        <w:rPr>
          <w:rFonts w:ascii="Verdana" w:hAnsi="Verdana" w:cs="Arial"/>
          <w:b/>
          <w:sz w:val="22"/>
          <w:szCs w:val="22"/>
        </w:rPr>
      </w:pPr>
    </w:p>
    <w:p w14:paraId="0C110AE2" w14:textId="77777777" w:rsidR="00567F27" w:rsidRDefault="00B35A8C" w:rsidP="00567F27">
      <w:pPr>
        <w:ind w:left="426"/>
        <w:rPr>
          <w:rFonts w:ascii="Verdana" w:hAnsi="Verdana" w:cs="Arial"/>
          <w:sz w:val="22"/>
          <w:szCs w:val="22"/>
        </w:rPr>
      </w:pPr>
      <w:r w:rsidRPr="00567F27">
        <w:rPr>
          <w:rFonts w:ascii="Verdana" w:hAnsi="Verdana" w:cs="Arial"/>
          <w:b/>
          <w:sz w:val="22"/>
          <w:szCs w:val="22"/>
        </w:rPr>
        <w:t>Carta catastral urbana:</w:t>
      </w:r>
      <w:r w:rsidRPr="00567F27">
        <w:rPr>
          <w:rFonts w:ascii="Verdana" w:hAnsi="Verdana" w:cs="Arial"/>
          <w:sz w:val="22"/>
          <w:szCs w:val="22"/>
        </w:rPr>
        <w:t xml:space="preserve"> es el “documento cartográfico georreferenciado en el que se encuentran individualizados los predios que conforman la manzana catastral con su respectiva identificación y nomenclatura vial y domiciliaria”.</w:t>
      </w:r>
    </w:p>
    <w:p w14:paraId="673153A0" w14:textId="77777777" w:rsidR="00567F27" w:rsidRDefault="00567F27" w:rsidP="00567F27">
      <w:pPr>
        <w:ind w:left="426"/>
        <w:rPr>
          <w:rFonts w:ascii="Verdana" w:hAnsi="Verdana" w:cs="Arial"/>
          <w:b/>
          <w:sz w:val="22"/>
          <w:szCs w:val="22"/>
        </w:rPr>
      </w:pPr>
    </w:p>
    <w:p w14:paraId="167B2B91" w14:textId="77777777" w:rsidR="00567F27" w:rsidRDefault="00B35A8C" w:rsidP="00567F27">
      <w:pPr>
        <w:ind w:left="426"/>
        <w:rPr>
          <w:rFonts w:ascii="Verdana" w:hAnsi="Verdana" w:cs="Arial"/>
          <w:sz w:val="22"/>
          <w:szCs w:val="22"/>
        </w:rPr>
      </w:pPr>
      <w:r w:rsidRPr="00567F27">
        <w:rPr>
          <w:rFonts w:ascii="Verdana" w:hAnsi="Verdana" w:cs="Arial"/>
          <w:b/>
          <w:sz w:val="22"/>
          <w:szCs w:val="22"/>
        </w:rPr>
        <w:t>Cédula catastral:</w:t>
      </w:r>
      <w:r w:rsidRPr="00567F27">
        <w:rPr>
          <w:rFonts w:ascii="Verdana" w:hAnsi="Verdana" w:cs="Arial"/>
          <w:sz w:val="22"/>
          <w:szCs w:val="22"/>
        </w:rPr>
        <w:t xml:space="preserve"> identificador catastral que consta de 15 dígitos. En el aplicativo ICT-INURBE, está habilitada la opción de hacer búsqueda de expedientes por “No. Predial”, que corresponde a este mismo identificador separado por guiones, conforme lo indicado en la sección de dominios de los datos de este instructivo.</w:t>
      </w:r>
    </w:p>
    <w:p w14:paraId="4155F50F" w14:textId="77777777" w:rsidR="00567F27" w:rsidRDefault="00567F27" w:rsidP="00567F27">
      <w:pPr>
        <w:ind w:left="426"/>
        <w:rPr>
          <w:rFonts w:ascii="Verdana" w:hAnsi="Verdana" w:cs="Arial"/>
          <w:b/>
          <w:sz w:val="22"/>
          <w:szCs w:val="22"/>
        </w:rPr>
      </w:pPr>
    </w:p>
    <w:p w14:paraId="40C8C902" w14:textId="77777777" w:rsidR="00567F27" w:rsidRDefault="00B35A8C" w:rsidP="00567F27">
      <w:pPr>
        <w:ind w:left="426"/>
        <w:rPr>
          <w:rFonts w:ascii="Verdana" w:hAnsi="Verdana" w:cs="Arial"/>
          <w:sz w:val="22"/>
          <w:szCs w:val="22"/>
        </w:rPr>
      </w:pPr>
      <w:r w:rsidRPr="00567F27">
        <w:rPr>
          <w:rFonts w:ascii="Verdana" w:hAnsi="Verdana" w:cs="Arial"/>
          <w:b/>
          <w:sz w:val="22"/>
          <w:szCs w:val="22"/>
        </w:rPr>
        <w:t>Certificado catastral</w:t>
      </w:r>
      <w:r w:rsidRPr="00567F27">
        <w:rPr>
          <w:rFonts w:ascii="Verdana" w:hAnsi="Verdana" w:cs="Arial"/>
          <w:sz w:val="22"/>
          <w:szCs w:val="22"/>
        </w:rPr>
        <w:t>: “documento por medio del cual la autoridad catastral hace constar la inscripción del predio o mejora, sus características y condiciones, según la base de datos catastral”.</w:t>
      </w:r>
    </w:p>
    <w:p w14:paraId="720E5D10" w14:textId="77777777" w:rsidR="00567F27" w:rsidRDefault="00567F27" w:rsidP="00567F27">
      <w:pPr>
        <w:ind w:left="426"/>
        <w:rPr>
          <w:rFonts w:ascii="Verdana" w:hAnsi="Verdana" w:cs="Arial"/>
          <w:b/>
          <w:sz w:val="22"/>
          <w:szCs w:val="22"/>
        </w:rPr>
      </w:pPr>
    </w:p>
    <w:p w14:paraId="6D606EEB" w14:textId="4E88E5E2" w:rsidR="00567F27" w:rsidRPr="00DB4B91" w:rsidRDefault="00B35A8C" w:rsidP="00DB4B91">
      <w:pPr>
        <w:ind w:left="426"/>
        <w:rPr>
          <w:rFonts w:ascii="Verdana" w:hAnsi="Verdana" w:cs="Arial"/>
          <w:sz w:val="22"/>
          <w:szCs w:val="22"/>
        </w:rPr>
      </w:pPr>
      <w:r w:rsidRPr="00567F27">
        <w:rPr>
          <w:rFonts w:ascii="Verdana" w:hAnsi="Verdana" w:cs="Arial"/>
          <w:b/>
          <w:sz w:val="22"/>
          <w:szCs w:val="22"/>
        </w:rPr>
        <w:t>Certificado plano predial catastral:</w:t>
      </w:r>
      <w:r w:rsidRPr="00567F27">
        <w:rPr>
          <w:rFonts w:ascii="Verdana" w:hAnsi="Verdana" w:cs="Arial"/>
          <w:sz w:val="22"/>
          <w:szCs w:val="22"/>
        </w:rPr>
        <w:t xml:space="preserve"> es el “documento gráfico georreferenciado por medio del cual la autoridad catastral hace constar la inscripción de un predio o mejora, sus características y condiciones”.</w:t>
      </w:r>
    </w:p>
    <w:p w14:paraId="255D4563" w14:textId="77777777" w:rsidR="00567F27" w:rsidRDefault="00B35A8C" w:rsidP="00567F27">
      <w:pPr>
        <w:ind w:left="426"/>
        <w:rPr>
          <w:rFonts w:ascii="Verdana" w:hAnsi="Verdana" w:cs="Arial"/>
          <w:sz w:val="22"/>
          <w:szCs w:val="22"/>
        </w:rPr>
      </w:pPr>
      <w:r w:rsidRPr="00567F27">
        <w:rPr>
          <w:rFonts w:ascii="Verdana" w:hAnsi="Verdana" w:cs="Arial"/>
          <w:b/>
          <w:sz w:val="22"/>
          <w:szCs w:val="22"/>
        </w:rPr>
        <w:lastRenderedPageBreak/>
        <w:t xml:space="preserve">Certificado o concepto de uso del suelo: </w:t>
      </w:r>
      <w:r w:rsidRPr="00567F27">
        <w:rPr>
          <w:rFonts w:ascii="Verdana" w:hAnsi="Verdana" w:cs="Arial"/>
          <w:sz w:val="22"/>
          <w:szCs w:val="22"/>
        </w:rPr>
        <w:t xml:space="preserve">documento en el que se compila la norma urbanística aplicable y certificada por la entidad territorial correspondiente, de un bien inmueble, con base a lo dispuesto en los instrumentos de ordenamiento territorial. El certificado de uso del suelo estará vigente hasta el momento que el instrumento de ordenamiento territorial sea revisado y modificado, mediante un nuevo acuerdo o decreto reglamentario, en tal caso, el certificado pierde su validez. </w:t>
      </w:r>
    </w:p>
    <w:p w14:paraId="38476B39" w14:textId="77777777" w:rsidR="00567F27" w:rsidRDefault="00567F27" w:rsidP="00567F27">
      <w:pPr>
        <w:ind w:left="426"/>
        <w:rPr>
          <w:rFonts w:ascii="Verdana" w:hAnsi="Verdana" w:cs="Arial"/>
          <w:b/>
          <w:sz w:val="22"/>
          <w:szCs w:val="22"/>
        </w:rPr>
      </w:pPr>
    </w:p>
    <w:p w14:paraId="5DB560BE" w14:textId="77777777" w:rsidR="00567F27" w:rsidRDefault="00B35A8C" w:rsidP="00567F27">
      <w:pPr>
        <w:ind w:left="426"/>
        <w:rPr>
          <w:rFonts w:ascii="Verdana" w:hAnsi="Verdana" w:cs="Arial"/>
          <w:sz w:val="22"/>
          <w:szCs w:val="22"/>
        </w:rPr>
      </w:pPr>
      <w:r w:rsidRPr="00567F27">
        <w:rPr>
          <w:rFonts w:ascii="Verdana" w:hAnsi="Verdana" w:cs="Arial"/>
          <w:b/>
          <w:sz w:val="22"/>
          <w:szCs w:val="22"/>
        </w:rPr>
        <w:t xml:space="preserve">Certificado o concepto de riesgo y/o amenaza: </w:t>
      </w:r>
      <w:r w:rsidRPr="00567F27">
        <w:rPr>
          <w:rFonts w:ascii="Verdana" w:hAnsi="Verdana" w:cs="Arial"/>
          <w:sz w:val="22"/>
          <w:szCs w:val="22"/>
        </w:rPr>
        <w:t xml:space="preserve">documento en el que la entidad territorial correspondiente certifica las condiciones de riesgo y/o amenaza de un bien inmueble, con base a lo dispuesto en el respectivo Plan Ordenamiento Territorial. El certificado estará vigente hasta el momento que el instrumento de ordenamiento territorial sea revisado y modificado, mediante un nuevo acuerdo o decreto reglamentario, en tal caso, el certificado pierde su validez. Este documento puede o no incluir las medidas de mitigación del riesgo y/o la amenaza. </w:t>
      </w:r>
    </w:p>
    <w:p w14:paraId="38150967" w14:textId="77777777" w:rsidR="00567F27" w:rsidRDefault="00567F27" w:rsidP="00567F27">
      <w:pPr>
        <w:ind w:left="426"/>
        <w:rPr>
          <w:rFonts w:ascii="Verdana" w:hAnsi="Verdana" w:cs="Arial"/>
          <w:b/>
          <w:sz w:val="22"/>
          <w:szCs w:val="22"/>
        </w:rPr>
      </w:pPr>
    </w:p>
    <w:p w14:paraId="3C83696A" w14:textId="77777777" w:rsidR="00567F27" w:rsidRDefault="00B35A8C" w:rsidP="00567F27">
      <w:pPr>
        <w:ind w:left="426"/>
        <w:rPr>
          <w:rFonts w:ascii="Verdana" w:hAnsi="Verdana" w:cs="Arial"/>
          <w:sz w:val="22"/>
          <w:szCs w:val="22"/>
        </w:rPr>
      </w:pPr>
      <w:r w:rsidRPr="00567F27">
        <w:rPr>
          <w:rFonts w:ascii="Verdana" w:hAnsi="Verdana" w:cs="Arial"/>
          <w:b/>
          <w:sz w:val="22"/>
          <w:szCs w:val="22"/>
        </w:rPr>
        <w:t>CHIP:</w:t>
      </w:r>
      <w:r w:rsidRPr="00567F27">
        <w:rPr>
          <w:rFonts w:ascii="Verdana" w:hAnsi="Verdana" w:cs="Arial"/>
          <w:sz w:val="22"/>
          <w:szCs w:val="22"/>
        </w:rPr>
        <w:t xml:space="preserve"> de acuerdo a la definición, es el “código homologado de identificación predial que asigna la Unidad Administrativa Especial de Catastro a cada predio del Distrito Capital”, es decir, este solo aplica para las unidades inmobiliarias o lotes ubicados dentro de la ciudad de Bogotá.</w:t>
      </w:r>
    </w:p>
    <w:p w14:paraId="160571F0" w14:textId="77777777" w:rsidR="00567F27" w:rsidRDefault="00567F27" w:rsidP="00567F27">
      <w:pPr>
        <w:ind w:left="426"/>
        <w:rPr>
          <w:rFonts w:ascii="Verdana" w:hAnsi="Verdana" w:cs="Arial"/>
          <w:b/>
          <w:sz w:val="22"/>
          <w:szCs w:val="22"/>
        </w:rPr>
      </w:pPr>
    </w:p>
    <w:p w14:paraId="313A4E99" w14:textId="77777777" w:rsidR="00567F27" w:rsidRDefault="00B35A8C" w:rsidP="00567F27">
      <w:pPr>
        <w:ind w:left="426"/>
        <w:rPr>
          <w:rFonts w:ascii="Verdana" w:hAnsi="Verdana" w:cs="Arial"/>
          <w:sz w:val="22"/>
          <w:szCs w:val="22"/>
        </w:rPr>
      </w:pPr>
      <w:r w:rsidRPr="00567F27">
        <w:rPr>
          <w:rFonts w:ascii="Verdana" w:hAnsi="Verdana" w:cs="Arial"/>
          <w:b/>
          <w:sz w:val="22"/>
          <w:szCs w:val="22"/>
        </w:rPr>
        <w:t>Código del Sector:</w:t>
      </w:r>
      <w:r w:rsidRPr="00567F27">
        <w:rPr>
          <w:rFonts w:ascii="Verdana" w:hAnsi="Verdana" w:cs="Arial"/>
          <w:sz w:val="22"/>
          <w:szCs w:val="22"/>
        </w:rPr>
        <w:t xml:space="preserve"> es un “identificador catastral de 18 posiciones numéricas que permite determinar la ubicación geográfica del predio con respecto al plano general del Distrito Capital”. También se conoce con el nombre de “Código del Lote” y al igual que el CHIP, aplica únicamente para lotes de la ciudad de Bogotá.</w:t>
      </w:r>
    </w:p>
    <w:p w14:paraId="29F55611" w14:textId="77777777" w:rsidR="00567F27" w:rsidRDefault="00567F27" w:rsidP="00567F27">
      <w:pPr>
        <w:ind w:left="426"/>
        <w:rPr>
          <w:rFonts w:ascii="Verdana" w:hAnsi="Verdana" w:cs="Arial"/>
          <w:b/>
          <w:sz w:val="22"/>
          <w:szCs w:val="22"/>
        </w:rPr>
      </w:pPr>
    </w:p>
    <w:p w14:paraId="24E561D2" w14:textId="77777777" w:rsidR="00567F27" w:rsidRDefault="00B35A8C" w:rsidP="00567F27">
      <w:pPr>
        <w:ind w:left="426"/>
        <w:rPr>
          <w:rFonts w:ascii="Verdana" w:hAnsi="Verdana" w:cs="Arial"/>
          <w:sz w:val="22"/>
          <w:szCs w:val="22"/>
        </w:rPr>
      </w:pPr>
      <w:r w:rsidRPr="00567F27">
        <w:rPr>
          <w:rFonts w:ascii="Verdana" w:hAnsi="Verdana" w:cs="Arial"/>
          <w:b/>
          <w:sz w:val="22"/>
          <w:szCs w:val="22"/>
        </w:rPr>
        <w:t xml:space="preserve">Deflactación: </w:t>
      </w:r>
      <w:r w:rsidRPr="00567F27">
        <w:rPr>
          <w:rFonts w:ascii="Verdana" w:hAnsi="Verdana" w:cs="Arial"/>
          <w:sz w:val="22"/>
          <w:szCs w:val="22"/>
        </w:rPr>
        <w:t>Convertir las variables “nominales” o monetarias en “reales”. Esto se realiza dividiendo las variables monetarias por un índice de precios. En otras palabras “en economía, un valor nominal es un valor económico expresado en términos monetarios nominales. Por el contrario, un valor real es un valor que ha sido ajustado desde un valor nominal para eliminar los efectos de las variaciones de los precios (inflación) en el tiempo respecto de algún año de referencia (año base). El proceso de conversión de nominal a términos reales se conoce deflactar (ajuste por inflación)”.</w:t>
      </w:r>
    </w:p>
    <w:p w14:paraId="3B9DF2B9" w14:textId="77777777" w:rsidR="00567F27" w:rsidRDefault="00567F27" w:rsidP="00567F27">
      <w:pPr>
        <w:ind w:left="426"/>
        <w:rPr>
          <w:rFonts w:ascii="Verdana" w:hAnsi="Verdana" w:cs="Arial"/>
          <w:b/>
          <w:sz w:val="22"/>
          <w:szCs w:val="22"/>
        </w:rPr>
      </w:pPr>
    </w:p>
    <w:p w14:paraId="4E85B68F" w14:textId="74E7DE99" w:rsidR="00B35A8C" w:rsidRPr="00F10EFE" w:rsidRDefault="00B35A8C" w:rsidP="00DB4B91">
      <w:pPr>
        <w:ind w:left="426"/>
        <w:rPr>
          <w:rFonts w:ascii="Verdana" w:hAnsi="Verdana" w:cs="Arial"/>
          <w:sz w:val="22"/>
          <w:szCs w:val="22"/>
        </w:rPr>
      </w:pPr>
      <w:r w:rsidRPr="00567F27">
        <w:rPr>
          <w:rFonts w:ascii="Verdana" w:hAnsi="Verdana" w:cs="Arial"/>
          <w:b/>
          <w:sz w:val="22"/>
          <w:szCs w:val="22"/>
        </w:rPr>
        <w:t>Destinación económica de los predios o Destino Económico: “</w:t>
      </w:r>
      <w:r w:rsidRPr="00567F27">
        <w:rPr>
          <w:rFonts w:ascii="Verdana" w:hAnsi="Verdana" w:cs="Arial"/>
          <w:sz w:val="22"/>
          <w:szCs w:val="22"/>
        </w:rPr>
        <w:t>es la clasificación para fines estadísticos que se da a cada inmueble en su conjunto – terreno, construcciones o edificaciones-, en el momento de la identificación predial de conformidad con la actividad predominante que en él se desarrolle”.</w:t>
      </w:r>
    </w:p>
    <w:p w14:paraId="7AB97B5D" w14:textId="77777777" w:rsidR="00B35A8C" w:rsidRPr="00F10EFE" w:rsidRDefault="00B35A8C" w:rsidP="00F10EFE">
      <w:pPr>
        <w:ind w:left="708"/>
        <w:rPr>
          <w:rFonts w:ascii="Verdana" w:hAnsi="Verdana" w:cs="Arial"/>
          <w:sz w:val="22"/>
          <w:szCs w:val="22"/>
        </w:rPr>
      </w:pPr>
      <w:r w:rsidRPr="00F10EFE">
        <w:rPr>
          <w:rFonts w:ascii="Verdana" w:hAnsi="Verdana" w:cs="Arial"/>
          <w:sz w:val="22"/>
          <w:szCs w:val="22"/>
        </w:rPr>
        <w:lastRenderedPageBreak/>
        <w:t>Con base al artículo No 86 de la Resolución No 0070 de 2011 del IGAC, los predios son clasificados con fines estadísticos, según su destinación económica en:</w:t>
      </w:r>
    </w:p>
    <w:p w14:paraId="38BEA2CF" w14:textId="77777777" w:rsidR="00B35A8C" w:rsidRPr="00F10EFE" w:rsidRDefault="00B35A8C" w:rsidP="00F10EFE">
      <w:pPr>
        <w:rPr>
          <w:rFonts w:ascii="Verdana" w:hAnsi="Verdana" w:cs="Arial"/>
          <w:sz w:val="22"/>
          <w:szCs w:val="22"/>
        </w:rPr>
      </w:pPr>
    </w:p>
    <w:p w14:paraId="0478BB24" w14:textId="77777777" w:rsidR="00B35A8C" w:rsidRPr="00F10EFE" w:rsidRDefault="00B35A8C" w:rsidP="00B863F1">
      <w:pPr>
        <w:pStyle w:val="Prrafodelista"/>
        <w:numPr>
          <w:ilvl w:val="0"/>
          <w:numId w:val="3"/>
        </w:numPr>
        <w:ind w:left="993" w:hanging="284"/>
        <w:rPr>
          <w:rFonts w:ascii="Verdana" w:hAnsi="Verdana" w:cs="Arial"/>
          <w:sz w:val="22"/>
          <w:szCs w:val="22"/>
        </w:rPr>
      </w:pPr>
      <w:r w:rsidRPr="00F10EFE">
        <w:rPr>
          <w:rFonts w:ascii="Verdana" w:hAnsi="Verdana" w:cs="Arial"/>
          <w:sz w:val="22"/>
          <w:szCs w:val="22"/>
        </w:rPr>
        <w:t>Habitacional: Predios destinados a vivienda. Se incluyen dentro de esta clase los parqueaderos, garajes y depósitos contenidos en el reglamento de propiedad horizontal, ligado a este destino.</w:t>
      </w:r>
    </w:p>
    <w:p w14:paraId="26B002AF"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Industrial: Predios en los cuales se desarrollan actividades de elaboración y transformación de materias primas.</w:t>
      </w:r>
    </w:p>
    <w:p w14:paraId="4963CCAA"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 xml:space="preserve">Comercial: Predios destinados al intercambio de bienes y/o servicios con el fin de satisfacer las necesidades de una colectividad. </w:t>
      </w:r>
    </w:p>
    <w:p w14:paraId="14AF6E7A"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Agropecuario: Predios con destinación agrícola y pecuaria.</w:t>
      </w:r>
    </w:p>
    <w:p w14:paraId="292DF432"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Minero: Predios destinados a la extracción y explotación de minerales.</w:t>
      </w:r>
    </w:p>
    <w:p w14:paraId="62FDECA4"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Cultural: Predios destinados al desarrollo de actividades artísticas e intelectuales.</w:t>
      </w:r>
    </w:p>
    <w:p w14:paraId="426C3E8C"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Recreacional: Predios dedicados al desarrollo o a la práctica de actividades de esparcimiento y entretenimiento.</w:t>
      </w:r>
    </w:p>
    <w:p w14:paraId="4DA85B13"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Salubridad: Predios destinados a clínicas, hospitales y puestos de salud.</w:t>
      </w:r>
    </w:p>
    <w:p w14:paraId="4EBAB60D"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Institucionales: Predios destinados a la administración y prestación de servicios del Estado y que no están incluidos en los literales de éste artículo.</w:t>
      </w:r>
    </w:p>
    <w:p w14:paraId="6BE6FBDE"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Educativo: Predios destinados al desarrollo de actividades académicas.</w:t>
      </w:r>
    </w:p>
    <w:p w14:paraId="17596A1D"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Religioso: Predios destinados a la práctica de culto religioso.</w:t>
      </w:r>
    </w:p>
    <w:p w14:paraId="5C4894C1"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Agrícola: Predios destinados a la siembra y aprovechamiento de especies vegetales.</w:t>
      </w:r>
    </w:p>
    <w:p w14:paraId="677F8F1F"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Pecuario: Predios destinados a la cría, beneficio y aprovechamiento de especies animales.</w:t>
      </w:r>
    </w:p>
    <w:p w14:paraId="23A27E64"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Agroindustrial: Predios destinados a la actividad que implica cultivo y transformación en los sectores agrícola, pecuario y forestal.</w:t>
      </w:r>
    </w:p>
    <w:p w14:paraId="2BD78BE9"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Forestal: Predios destinados a la explotación de especies maderables y no maderables.</w:t>
      </w:r>
    </w:p>
    <w:p w14:paraId="071F2B5C"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Uso Público: Predios cuyo uso es abierto a la comunidad y que no están incluidos en los literales anteriores.</w:t>
      </w:r>
    </w:p>
    <w:p w14:paraId="51CF275C" w14:textId="77777777" w:rsidR="00B35A8C" w:rsidRPr="00F10EFE" w:rsidRDefault="00B35A8C" w:rsidP="00B863F1">
      <w:pPr>
        <w:pStyle w:val="Prrafodelista"/>
        <w:numPr>
          <w:ilvl w:val="0"/>
          <w:numId w:val="4"/>
        </w:numPr>
        <w:ind w:left="993" w:hanging="284"/>
        <w:rPr>
          <w:rFonts w:ascii="Verdana" w:hAnsi="Verdana" w:cs="Arial"/>
          <w:sz w:val="22"/>
          <w:szCs w:val="22"/>
        </w:rPr>
      </w:pPr>
      <w:r w:rsidRPr="00F10EFE">
        <w:rPr>
          <w:rFonts w:ascii="Verdana" w:hAnsi="Verdana" w:cs="Arial"/>
          <w:sz w:val="22"/>
          <w:szCs w:val="22"/>
        </w:rPr>
        <w:t xml:space="preserve">Servicios Especiales: Predios que genera alto impacto ambiental y /o Social. Entre otros, están: Centro de Almacenamiento de Combustible, Cementerios, Embalses, Rellenos Sanitarios, Lagunas de Oxidación, Mataderos, Frigoríficos y Cárceles.  </w:t>
      </w:r>
    </w:p>
    <w:p w14:paraId="1325E471" w14:textId="77777777" w:rsidR="00B35A8C" w:rsidRPr="00F10EFE" w:rsidRDefault="00B35A8C" w:rsidP="00F10EFE">
      <w:pPr>
        <w:ind w:left="1068"/>
        <w:rPr>
          <w:rFonts w:ascii="Verdana" w:hAnsi="Verdana" w:cs="Arial"/>
          <w:sz w:val="22"/>
          <w:szCs w:val="22"/>
        </w:rPr>
      </w:pPr>
    </w:p>
    <w:p w14:paraId="2FB98BBC" w14:textId="77777777" w:rsidR="00B35A8C" w:rsidRPr="00F10EFE" w:rsidRDefault="00B35A8C" w:rsidP="00F10EFE">
      <w:pPr>
        <w:ind w:left="709"/>
        <w:rPr>
          <w:rFonts w:ascii="Verdana" w:hAnsi="Verdana" w:cs="Arial"/>
          <w:sz w:val="22"/>
          <w:szCs w:val="22"/>
        </w:rPr>
      </w:pPr>
      <w:r w:rsidRPr="00F10EFE">
        <w:rPr>
          <w:rFonts w:ascii="Verdana" w:hAnsi="Verdana" w:cs="Arial"/>
          <w:sz w:val="22"/>
          <w:szCs w:val="22"/>
        </w:rPr>
        <w:t xml:space="preserve">La Unidad Administrativa Distrital de Catastro Bogotá define que el Destino Económico, “corresponde a la actividad económica potencial de explotación de un predio (la finalidad propuesta). En el área urbana, el uso potencial del terreno es ser usado para ser construido, cuando ya está construido, el suelo </w:t>
      </w:r>
      <w:r w:rsidRPr="00F10EFE">
        <w:rPr>
          <w:rFonts w:ascii="Verdana" w:hAnsi="Verdana" w:cs="Arial"/>
          <w:sz w:val="22"/>
          <w:szCs w:val="22"/>
        </w:rPr>
        <w:lastRenderedPageBreak/>
        <w:t>pasa a un segundo plano y la determinante de su uso es la construcción, por lo que el destino económico está asociado tanto al uso de la construcción como a la norma urbanística definida para el terreno”.</w:t>
      </w:r>
    </w:p>
    <w:p w14:paraId="7C32661D" w14:textId="77777777" w:rsidR="00B35A8C" w:rsidRPr="00F10EFE" w:rsidRDefault="00B35A8C" w:rsidP="00F10EFE">
      <w:pPr>
        <w:pStyle w:val="Prrafodelista"/>
        <w:rPr>
          <w:rFonts w:ascii="Verdana" w:hAnsi="Verdana" w:cs="Arial"/>
          <w:sz w:val="22"/>
          <w:szCs w:val="22"/>
        </w:rPr>
      </w:pPr>
    </w:p>
    <w:p w14:paraId="6FB46FA5" w14:textId="77777777" w:rsidR="00567F27" w:rsidRDefault="00B35A8C" w:rsidP="00567F27">
      <w:pPr>
        <w:ind w:left="284"/>
        <w:rPr>
          <w:rFonts w:ascii="Verdana" w:hAnsi="Verdana" w:cs="Arial"/>
          <w:sz w:val="22"/>
          <w:szCs w:val="22"/>
        </w:rPr>
      </w:pPr>
      <w:r w:rsidRPr="00567F27">
        <w:rPr>
          <w:rFonts w:ascii="Verdana" w:hAnsi="Verdana" w:cs="Arial"/>
          <w:b/>
          <w:sz w:val="22"/>
          <w:szCs w:val="22"/>
        </w:rPr>
        <w:t xml:space="preserve">Departamento: </w:t>
      </w:r>
      <w:r w:rsidRPr="00567F27">
        <w:rPr>
          <w:rFonts w:ascii="Verdana" w:hAnsi="Verdana" w:cs="Arial"/>
          <w:sz w:val="22"/>
          <w:szCs w:val="22"/>
        </w:rPr>
        <w:t>entidad territorial de primer orden en cuanto a organización territorial nacional, por ejemplo, son departamentos del territorio colombiano los departamentos de Cundinamarca, Norte de Santander, Bolívar, entre otros.</w:t>
      </w:r>
    </w:p>
    <w:p w14:paraId="4C20E046" w14:textId="77777777" w:rsidR="00567F27" w:rsidRDefault="00567F27" w:rsidP="00567F27">
      <w:pPr>
        <w:ind w:left="284"/>
        <w:rPr>
          <w:rFonts w:ascii="Verdana" w:hAnsi="Verdana" w:cs="Arial"/>
          <w:b/>
          <w:sz w:val="22"/>
          <w:szCs w:val="22"/>
        </w:rPr>
      </w:pPr>
    </w:p>
    <w:p w14:paraId="665B165C" w14:textId="77777777" w:rsidR="00567F27" w:rsidRDefault="00B35A8C" w:rsidP="00567F27">
      <w:pPr>
        <w:ind w:left="284"/>
        <w:rPr>
          <w:rFonts w:ascii="Verdana" w:hAnsi="Verdana" w:cs="Arial"/>
          <w:sz w:val="22"/>
          <w:szCs w:val="22"/>
        </w:rPr>
      </w:pPr>
      <w:r w:rsidRPr="00567F27">
        <w:rPr>
          <w:rFonts w:ascii="Verdana" w:hAnsi="Verdana" w:cs="Arial"/>
          <w:b/>
          <w:sz w:val="22"/>
          <w:szCs w:val="22"/>
        </w:rPr>
        <w:t>Evaluación y categorización del Riesgo:</w:t>
      </w:r>
      <w:r w:rsidRPr="00567F27">
        <w:rPr>
          <w:rFonts w:ascii="Verdana" w:hAnsi="Verdana" w:cs="Arial"/>
          <w:sz w:val="22"/>
          <w:szCs w:val="22"/>
        </w:rPr>
        <w:t xml:space="preserve"> “Como resultado de relacionar amenaza de detalle y vulnerabilidad se debe realizar el mapa de riesgos categorizándolo en mitigable y no mitigable, a la misma escala de los parámetros analizados”.</w:t>
      </w:r>
    </w:p>
    <w:p w14:paraId="73EE1D00" w14:textId="77777777" w:rsidR="00567F27" w:rsidRDefault="00567F27" w:rsidP="00567F27">
      <w:pPr>
        <w:ind w:left="284"/>
        <w:rPr>
          <w:rFonts w:ascii="Verdana" w:hAnsi="Verdana" w:cs="Arial"/>
          <w:b/>
          <w:sz w:val="22"/>
          <w:szCs w:val="22"/>
        </w:rPr>
      </w:pPr>
    </w:p>
    <w:p w14:paraId="18DE0818" w14:textId="77777777" w:rsidR="00567F27" w:rsidRDefault="00B35A8C" w:rsidP="00567F27">
      <w:pPr>
        <w:ind w:left="284"/>
        <w:rPr>
          <w:rFonts w:ascii="Verdana" w:hAnsi="Verdana" w:cs="Arial"/>
          <w:sz w:val="22"/>
          <w:szCs w:val="22"/>
        </w:rPr>
      </w:pPr>
      <w:r w:rsidRPr="00567F27">
        <w:rPr>
          <w:rFonts w:ascii="Verdana" w:hAnsi="Verdana" w:cs="Arial"/>
          <w:b/>
          <w:sz w:val="22"/>
          <w:szCs w:val="22"/>
        </w:rPr>
        <w:t xml:space="preserve">Hogar: </w:t>
      </w:r>
      <w:r w:rsidRPr="00567F27">
        <w:rPr>
          <w:rFonts w:ascii="Verdana" w:hAnsi="Verdana" w:cs="Arial"/>
          <w:sz w:val="22"/>
          <w:szCs w:val="22"/>
        </w:rPr>
        <w:t>“una o más personas que integren el mismo grupo familiar, unidas o no por vínculos de parentesco, incluidos los cónyuges, las uniones maritales de hecho y las parejas del mismo sexo, que compartan un mismo espacio habitacional”.</w:t>
      </w:r>
    </w:p>
    <w:p w14:paraId="457E7418" w14:textId="77777777" w:rsidR="00567F27" w:rsidRDefault="00567F27" w:rsidP="00567F27">
      <w:pPr>
        <w:ind w:left="284"/>
        <w:rPr>
          <w:rFonts w:ascii="Verdana" w:hAnsi="Verdana" w:cs="Arial"/>
          <w:b/>
          <w:sz w:val="22"/>
          <w:szCs w:val="22"/>
        </w:rPr>
      </w:pPr>
    </w:p>
    <w:p w14:paraId="5E1E7755" w14:textId="77777777" w:rsidR="00567F27" w:rsidRDefault="00B35A8C" w:rsidP="00567F27">
      <w:pPr>
        <w:ind w:left="284"/>
        <w:rPr>
          <w:rFonts w:ascii="Verdana" w:hAnsi="Verdana" w:cs="Arial"/>
          <w:sz w:val="22"/>
          <w:szCs w:val="22"/>
        </w:rPr>
      </w:pPr>
      <w:r w:rsidRPr="00567F27">
        <w:rPr>
          <w:rFonts w:ascii="Verdana" w:hAnsi="Verdana" w:cs="Arial"/>
          <w:b/>
          <w:sz w:val="22"/>
          <w:szCs w:val="22"/>
        </w:rPr>
        <w:t>Índice de Costos de la Construcción de Vivienda – ICCV:</w:t>
      </w:r>
      <w:r w:rsidRPr="00567F27">
        <w:rPr>
          <w:rFonts w:ascii="Verdana" w:hAnsi="Verdana" w:cs="Arial"/>
          <w:sz w:val="22"/>
          <w:szCs w:val="22"/>
        </w:rPr>
        <w:t xml:space="preserve"> “instrumento estadístico que permite conocer el cambio porcentual promedio de los precios en dos periodos de tiempo de los principales insumos requeridos para la construcción de vivienda”. “Muestra el comportamiento de los costos de los principales insumos utilizados en la construcción de vivienda y además constituye un importante punto de referencia para la actualización de presupuestos, contratos y demás aspectos relacionados con la evolución de los precios de este tipo de construcción” </w:t>
      </w:r>
    </w:p>
    <w:p w14:paraId="6C86F120" w14:textId="77777777" w:rsidR="00567F27" w:rsidRDefault="00567F27" w:rsidP="00567F27">
      <w:pPr>
        <w:ind w:left="284"/>
        <w:rPr>
          <w:rFonts w:ascii="Verdana" w:hAnsi="Verdana" w:cs="Arial"/>
          <w:b/>
          <w:sz w:val="22"/>
          <w:szCs w:val="22"/>
        </w:rPr>
      </w:pPr>
    </w:p>
    <w:p w14:paraId="028CD626" w14:textId="77777777" w:rsidR="00567F27" w:rsidRDefault="00B35A8C" w:rsidP="00567F27">
      <w:pPr>
        <w:ind w:left="284"/>
        <w:rPr>
          <w:rFonts w:ascii="Verdana" w:hAnsi="Verdana" w:cs="Arial"/>
          <w:sz w:val="22"/>
          <w:szCs w:val="22"/>
        </w:rPr>
      </w:pPr>
      <w:r w:rsidRPr="00567F27">
        <w:rPr>
          <w:rFonts w:ascii="Verdana" w:hAnsi="Verdana" w:cs="Arial"/>
          <w:b/>
          <w:sz w:val="22"/>
          <w:szCs w:val="22"/>
        </w:rPr>
        <w:t>Iteración:</w:t>
      </w:r>
      <w:r w:rsidRPr="00567F27">
        <w:rPr>
          <w:rFonts w:ascii="Verdana" w:hAnsi="Verdana" w:cs="Arial"/>
          <w:sz w:val="22"/>
          <w:szCs w:val="22"/>
        </w:rPr>
        <w:t xml:space="preserve"> en matemática, se refiere al proceso de aplicar varias veces una función usando el resultado de una operación como la entrada a la siguiente.</w:t>
      </w:r>
    </w:p>
    <w:p w14:paraId="4FE917BF" w14:textId="77777777" w:rsidR="00567F27" w:rsidRDefault="00567F27" w:rsidP="00567F27">
      <w:pPr>
        <w:ind w:left="284"/>
        <w:rPr>
          <w:rFonts w:ascii="Verdana" w:hAnsi="Verdana" w:cs="Arial"/>
          <w:b/>
          <w:sz w:val="22"/>
          <w:szCs w:val="22"/>
        </w:rPr>
      </w:pPr>
    </w:p>
    <w:p w14:paraId="03B5C165" w14:textId="77777777" w:rsidR="00567F27" w:rsidRDefault="00B35A8C" w:rsidP="00567F27">
      <w:pPr>
        <w:ind w:left="284"/>
        <w:rPr>
          <w:rFonts w:ascii="Verdana" w:hAnsi="Verdana" w:cs="Arial"/>
          <w:sz w:val="22"/>
          <w:szCs w:val="22"/>
        </w:rPr>
      </w:pPr>
      <w:r w:rsidRPr="00567F27">
        <w:rPr>
          <w:rFonts w:ascii="Verdana" w:hAnsi="Verdana" w:cs="Arial"/>
          <w:b/>
          <w:sz w:val="22"/>
          <w:szCs w:val="22"/>
        </w:rPr>
        <w:t xml:space="preserve">Matrícula inmobiliaria: </w:t>
      </w:r>
      <w:r w:rsidRPr="00567F27">
        <w:rPr>
          <w:rFonts w:ascii="Verdana" w:hAnsi="Verdana" w:cs="Arial"/>
          <w:sz w:val="22"/>
          <w:szCs w:val="22"/>
        </w:rPr>
        <w:t>la calidad de “predio” a nivel nacional, solo está dada si un bien inmueble está ligado con su aspecto jurídico, para lo cual las Oficinas de Registro e Instrumentos Públicos de Colombia asignan la matrícula inmobiliaria como identificador que también es conocida como “folio de matrícula inmobiliaria”.</w:t>
      </w:r>
    </w:p>
    <w:p w14:paraId="2B346C2E" w14:textId="77777777" w:rsidR="00567F27" w:rsidRDefault="00567F27" w:rsidP="00567F27">
      <w:pPr>
        <w:ind w:left="284"/>
        <w:rPr>
          <w:rFonts w:ascii="Verdana" w:hAnsi="Verdana" w:cs="Arial"/>
          <w:b/>
          <w:sz w:val="22"/>
          <w:szCs w:val="22"/>
        </w:rPr>
      </w:pPr>
    </w:p>
    <w:p w14:paraId="0BDBC0DE" w14:textId="77777777" w:rsidR="00567F27" w:rsidRDefault="00B35A8C" w:rsidP="00567F27">
      <w:pPr>
        <w:ind w:left="284"/>
        <w:rPr>
          <w:rFonts w:ascii="Verdana" w:hAnsi="Verdana" w:cs="Arial"/>
          <w:sz w:val="22"/>
          <w:szCs w:val="22"/>
        </w:rPr>
      </w:pPr>
      <w:r w:rsidRPr="00567F27">
        <w:rPr>
          <w:rFonts w:ascii="Verdana" w:hAnsi="Verdana" w:cs="Arial"/>
          <w:b/>
          <w:sz w:val="22"/>
          <w:szCs w:val="22"/>
        </w:rPr>
        <w:t>Mejora por construcciones y/o edificaciones en predio ajeno: “</w:t>
      </w:r>
      <w:r w:rsidRPr="00567F27">
        <w:rPr>
          <w:rFonts w:ascii="Verdana" w:hAnsi="Verdana" w:cs="Arial"/>
          <w:sz w:val="22"/>
          <w:szCs w:val="22"/>
        </w:rPr>
        <w:t>es la construcción o edificación instalada por una persona natural o jurídica sobre un predio que no le pertenece”.</w:t>
      </w:r>
    </w:p>
    <w:p w14:paraId="1B1D86F2" w14:textId="77777777" w:rsidR="00567F27" w:rsidRDefault="00567F27" w:rsidP="00567F27">
      <w:pPr>
        <w:ind w:left="284"/>
        <w:rPr>
          <w:rFonts w:ascii="Verdana" w:hAnsi="Verdana" w:cs="Arial"/>
          <w:b/>
          <w:sz w:val="22"/>
          <w:szCs w:val="22"/>
        </w:rPr>
      </w:pPr>
    </w:p>
    <w:p w14:paraId="7F1D703B" w14:textId="0882C072" w:rsidR="00B35A8C" w:rsidRPr="00567F27" w:rsidRDefault="00B35A8C" w:rsidP="00567F27">
      <w:pPr>
        <w:ind w:left="284"/>
        <w:rPr>
          <w:rFonts w:ascii="Verdana" w:hAnsi="Verdana" w:cs="Arial"/>
          <w:sz w:val="22"/>
          <w:szCs w:val="22"/>
        </w:rPr>
      </w:pPr>
      <w:r w:rsidRPr="00567F27">
        <w:rPr>
          <w:rFonts w:ascii="Verdana" w:hAnsi="Verdana" w:cs="Arial"/>
          <w:b/>
          <w:sz w:val="22"/>
          <w:szCs w:val="22"/>
        </w:rPr>
        <w:t>Mitigación del riesgo:</w:t>
      </w:r>
      <w:r w:rsidRPr="00567F27">
        <w:rPr>
          <w:rFonts w:ascii="Verdana" w:hAnsi="Verdana" w:cs="Arial"/>
          <w:sz w:val="22"/>
          <w:szCs w:val="22"/>
        </w:rPr>
        <w:t xml:space="preserve"> “Medidas de intervención prescriptiva o correctiva dirigidas a reducir o disminuir los daños y pérdidas que se puedan presentar a través de reglamentos de seguridad y proyectos de inversión pública o privada cuyo objetivo </w:t>
      </w:r>
      <w:r w:rsidRPr="00567F27">
        <w:rPr>
          <w:rFonts w:ascii="Verdana" w:hAnsi="Verdana" w:cs="Arial"/>
          <w:sz w:val="22"/>
          <w:szCs w:val="22"/>
        </w:rPr>
        <w:lastRenderedPageBreak/>
        <w:t>es reducir las condiciones de amenaza, cuando sea posible, y la vulnerabilidad existente”.</w:t>
      </w:r>
    </w:p>
    <w:p w14:paraId="27677D39" w14:textId="77777777" w:rsidR="00B35A8C" w:rsidRPr="00F10EFE" w:rsidRDefault="00B35A8C" w:rsidP="00F10EFE">
      <w:pPr>
        <w:pStyle w:val="Prrafodelista"/>
        <w:rPr>
          <w:rFonts w:ascii="Verdana" w:hAnsi="Verdana" w:cs="Arial"/>
          <w:sz w:val="22"/>
          <w:szCs w:val="22"/>
        </w:rPr>
      </w:pPr>
    </w:p>
    <w:p w14:paraId="10DB45B7" w14:textId="77777777" w:rsidR="00C42376" w:rsidRDefault="00B35A8C" w:rsidP="00C42376">
      <w:pPr>
        <w:ind w:left="284"/>
        <w:rPr>
          <w:rFonts w:ascii="Verdana" w:hAnsi="Verdana" w:cs="Arial"/>
          <w:sz w:val="22"/>
          <w:szCs w:val="22"/>
        </w:rPr>
      </w:pPr>
      <w:r w:rsidRPr="00E22519">
        <w:rPr>
          <w:rFonts w:ascii="Verdana" w:hAnsi="Verdana" w:cs="Arial"/>
          <w:b/>
          <w:sz w:val="22"/>
          <w:szCs w:val="22"/>
        </w:rPr>
        <w:t xml:space="preserve">Municipio: </w:t>
      </w:r>
      <w:r w:rsidRPr="00E22519">
        <w:rPr>
          <w:rFonts w:ascii="Verdana" w:hAnsi="Verdana" w:cs="Arial"/>
          <w:sz w:val="22"/>
          <w:szCs w:val="22"/>
        </w:rPr>
        <w:t>entidad territorial fundamental de la organización territorial nacional. Los departamentos se dividen en municipios. Son municipios colombianos, por ejemplo, Cúcuta, Ibagué, Armenia, Pasto, entre otros.</w:t>
      </w:r>
    </w:p>
    <w:p w14:paraId="07E8E820" w14:textId="77777777" w:rsidR="00C42376" w:rsidRDefault="00C42376" w:rsidP="00C42376">
      <w:pPr>
        <w:ind w:left="284"/>
        <w:rPr>
          <w:rFonts w:ascii="Verdana" w:hAnsi="Verdana" w:cs="Arial"/>
          <w:b/>
          <w:sz w:val="22"/>
          <w:szCs w:val="22"/>
        </w:rPr>
      </w:pPr>
    </w:p>
    <w:p w14:paraId="48126F43" w14:textId="77777777" w:rsidR="00C42376" w:rsidRDefault="00B35A8C" w:rsidP="00C42376">
      <w:pPr>
        <w:ind w:left="284"/>
        <w:rPr>
          <w:rFonts w:ascii="Verdana" w:hAnsi="Verdana" w:cs="Arial"/>
          <w:sz w:val="22"/>
          <w:szCs w:val="22"/>
        </w:rPr>
      </w:pPr>
      <w:r w:rsidRPr="00C42376">
        <w:rPr>
          <w:rFonts w:ascii="Verdana" w:hAnsi="Verdana" w:cs="Arial"/>
          <w:b/>
          <w:sz w:val="22"/>
          <w:szCs w:val="22"/>
        </w:rPr>
        <w:t>Número Predial Nacional (nuevo):</w:t>
      </w:r>
      <w:r w:rsidRPr="00C42376">
        <w:rPr>
          <w:rFonts w:ascii="Verdana" w:hAnsi="Verdana" w:cs="Arial"/>
          <w:sz w:val="22"/>
          <w:szCs w:val="22"/>
        </w:rPr>
        <w:t xml:space="preserve"> código identificador unificado que se estableció desde el año 2013 en todas las entidades catastrales para cada unidad inmobiliaria. Consta de 30 dígitos y aunque es de implementación reciente, los catastros descentralizados como el de Bogotá, ya han adoptado este identificador. En términos generales el Número Predial Nacional, contiene la información de los antiguos: Número Predial (antiguo) y la Cédula Catastral.</w:t>
      </w:r>
    </w:p>
    <w:p w14:paraId="5A4CE108" w14:textId="77777777" w:rsidR="00C42376" w:rsidRDefault="00C42376" w:rsidP="00C42376">
      <w:pPr>
        <w:ind w:left="284"/>
        <w:rPr>
          <w:rFonts w:ascii="Verdana" w:hAnsi="Verdana" w:cs="Arial"/>
          <w:b/>
          <w:sz w:val="22"/>
          <w:szCs w:val="22"/>
        </w:rPr>
      </w:pPr>
    </w:p>
    <w:p w14:paraId="633E4516" w14:textId="77777777" w:rsidR="00C42376" w:rsidRDefault="00B35A8C" w:rsidP="00C42376">
      <w:pPr>
        <w:ind w:left="284"/>
        <w:rPr>
          <w:rFonts w:ascii="Verdana" w:hAnsi="Verdana" w:cs="Arial"/>
          <w:sz w:val="22"/>
          <w:szCs w:val="22"/>
        </w:rPr>
      </w:pPr>
      <w:r w:rsidRPr="00C42376">
        <w:rPr>
          <w:rFonts w:ascii="Verdana" w:hAnsi="Verdana" w:cs="Arial"/>
          <w:b/>
          <w:sz w:val="22"/>
          <w:szCs w:val="22"/>
        </w:rPr>
        <w:t>Número Predial (antiguo):</w:t>
      </w:r>
      <w:r w:rsidRPr="00C42376">
        <w:rPr>
          <w:rFonts w:ascii="Verdana" w:hAnsi="Verdana" w:cs="Arial"/>
          <w:sz w:val="22"/>
          <w:szCs w:val="22"/>
        </w:rPr>
        <w:t xml:space="preserve"> código identificador usado antes de la entrada en vigencia del Numero Predial Nacional de 30 dígitos. Se reconoce por tener 20 dígitos.</w:t>
      </w:r>
    </w:p>
    <w:p w14:paraId="37180723" w14:textId="77777777" w:rsidR="00C42376" w:rsidRDefault="00C42376" w:rsidP="00C42376">
      <w:pPr>
        <w:ind w:left="284"/>
        <w:rPr>
          <w:rFonts w:ascii="Verdana" w:hAnsi="Verdana" w:cs="Arial"/>
          <w:b/>
          <w:sz w:val="22"/>
          <w:szCs w:val="22"/>
        </w:rPr>
      </w:pPr>
    </w:p>
    <w:p w14:paraId="3346B677" w14:textId="66ED425E" w:rsidR="00B35A8C" w:rsidRPr="00C42376" w:rsidRDefault="00B35A8C" w:rsidP="00C42376">
      <w:pPr>
        <w:ind w:left="284"/>
        <w:rPr>
          <w:rFonts w:ascii="Verdana" w:hAnsi="Verdana" w:cs="Arial"/>
          <w:sz w:val="22"/>
          <w:szCs w:val="22"/>
        </w:rPr>
      </w:pPr>
      <w:r w:rsidRPr="00C42376">
        <w:rPr>
          <w:rFonts w:ascii="Verdana" w:hAnsi="Verdana" w:cs="Arial"/>
          <w:b/>
          <w:sz w:val="22"/>
          <w:szCs w:val="22"/>
        </w:rPr>
        <w:t xml:space="preserve">Portales o Geoportales de consulta de información territorial catastral: </w:t>
      </w:r>
      <w:r w:rsidRPr="00C42376">
        <w:rPr>
          <w:rFonts w:ascii="Verdana" w:hAnsi="Verdana" w:cs="Arial"/>
          <w:sz w:val="22"/>
          <w:szCs w:val="22"/>
        </w:rPr>
        <w:t xml:space="preserve">sistemas de información geográfica que funcionan como aplicaciones web de las diferentes entidades territoriales y/o catastrales y que estas han puesto a disposición de los usuarios en general para la consulta de la información catastral. </w:t>
      </w:r>
    </w:p>
    <w:p w14:paraId="3AD2D40A" w14:textId="77777777" w:rsidR="00B35A8C" w:rsidRPr="00F10EFE" w:rsidRDefault="00B35A8C" w:rsidP="00F10EFE">
      <w:pPr>
        <w:pStyle w:val="Prrafodelista"/>
        <w:rPr>
          <w:rFonts w:ascii="Verdana" w:hAnsi="Verdana" w:cs="Arial"/>
          <w:sz w:val="22"/>
          <w:szCs w:val="22"/>
        </w:rPr>
      </w:pPr>
    </w:p>
    <w:p w14:paraId="451D512F" w14:textId="77777777" w:rsidR="00B35A8C" w:rsidRPr="00DB4B91" w:rsidRDefault="00B35A8C" w:rsidP="00DB4B91">
      <w:pPr>
        <w:ind w:firstLine="284"/>
        <w:rPr>
          <w:rFonts w:ascii="Verdana" w:hAnsi="Verdana" w:cs="Arial"/>
          <w:sz w:val="22"/>
          <w:szCs w:val="22"/>
        </w:rPr>
      </w:pPr>
      <w:r w:rsidRPr="00DB4B91">
        <w:rPr>
          <w:rFonts w:ascii="Verdana" w:hAnsi="Verdana" w:cs="Arial"/>
          <w:sz w:val="22"/>
          <w:szCs w:val="22"/>
        </w:rPr>
        <w:t xml:space="preserve">Entre los portales se pueden encontrar: </w:t>
      </w:r>
    </w:p>
    <w:p w14:paraId="10C051D7" w14:textId="77777777" w:rsidR="00B35A8C" w:rsidRPr="00F10EFE" w:rsidRDefault="00B35A8C" w:rsidP="00F10EFE">
      <w:pPr>
        <w:pStyle w:val="Prrafodelista"/>
        <w:rPr>
          <w:rFonts w:ascii="Verdana" w:hAnsi="Verdana" w:cs="Arial"/>
          <w:sz w:val="22"/>
          <w:szCs w:val="22"/>
        </w:rPr>
      </w:pPr>
    </w:p>
    <w:p w14:paraId="3D106FCF" w14:textId="77777777" w:rsidR="00B35A8C" w:rsidRPr="00F10EFE" w:rsidRDefault="00B35A8C" w:rsidP="00B863F1">
      <w:pPr>
        <w:pStyle w:val="Prrafodelista"/>
        <w:numPr>
          <w:ilvl w:val="0"/>
          <w:numId w:val="5"/>
        </w:numPr>
        <w:rPr>
          <w:rFonts w:ascii="Verdana" w:hAnsi="Verdana" w:cs="Arial"/>
          <w:sz w:val="22"/>
          <w:szCs w:val="22"/>
        </w:rPr>
      </w:pPr>
      <w:r w:rsidRPr="00F10EFE">
        <w:rPr>
          <w:rFonts w:ascii="Verdana" w:hAnsi="Verdana" w:cs="Arial"/>
          <w:sz w:val="22"/>
          <w:szCs w:val="22"/>
        </w:rPr>
        <w:t>Geoportal del Mapa de Sistema Nacional Catastral del Instituto Geográfico Agustín Codazzi.</w:t>
      </w:r>
    </w:p>
    <w:p w14:paraId="3A9E35B6" w14:textId="77777777" w:rsidR="00B35A8C" w:rsidRPr="00F10EFE" w:rsidRDefault="00B35A8C" w:rsidP="00B863F1">
      <w:pPr>
        <w:pStyle w:val="Prrafodelista"/>
        <w:numPr>
          <w:ilvl w:val="0"/>
          <w:numId w:val="5"/>
        </w:numPr>
        <w:rPr>
          <w:rFonts w:ascii="Verdana" w:hAnsi="Verdana" w:cs="Arial"/>
          <w:sz w:val="22"/>
          <w:szCs w:val="22"/>
        </w:rPr>
      </w:pPr>
      <w:r w:rsidRPr="00F10EFE">
        <w:rPr>
          <w:rFonts w:ascii="Verdana" w:hAnsi="Verdana" w:cs="Arial"/>
          <w:sz w:val="22"/>
          <w:szCs w:val="22"/>
        </w:rPr>
        <w:t>Sistema de Información de Norma Urbana y Plan de Ordenamiento Territorial – SINUPOT, en el caso de Bogotá.</w:t>
      </w:r>
    </w:p>
    <w:p w14:paraId="627F54F7" w14:textId="77777777" w:rsidR="00B35A8C" w:rsidRPr="00F10EFE" w:rsidRDefault="00B35A8C" w:rsidP="00B863F1">
      <w:pPr>
        <w:pStyle w:val="Prrafodelista"/>
        <w:numPr>
          <w:ilvl w:val="0"/>
          <w:numId w:val="5"/>
        </w:numPr>
        <w:rPr>
          <w:rFonts w:ascii="Verdana" w:hAnsi="Verdana" w:cs="Arial"/>
          <w:sz w:val="22"/>
          <w:szCs w:val="22"/>
        </w:rPr>
      </w:pPr>
      <w:r w:rsidRPr="00F10EFE">
        <w:rPr>
          <w:rFonts w:ascii="Verdana" w:hAnsi="Verdana" w:cs="Arial"/>
          <w:sz w:val="22"/>
          <w:szCs w:val="22"/>
        </w:rPr>
        <w:t>Mapa Interactivo de Asuntos del Suelo – MIDAS, para Cartagena.</w:t>
      </w:r>
    </w:p>
    <w:p w14:paraId="49EB7D5E" w14:textId="77777777" w:rsidR="00B35A8C" w:rsidRPr="00F10EFE" w:rsidRDefault="00B35A8C" w:rsidP="00B863F1">
      <w:pPr>
        <w:pStyle w:val="Prrafodelista"/>
        <w:numPr>
          <w:ilvl w:val="0"/>
          <w:numId w:val="5"/>
        </w:numPr>
        <w:rPr>
          <w:rFonts w:ascii="Verdana" w:hAnsi="Verdana" w:cs="Arial"/>
          <w:sz w:val="22"/>
          <w:szCs w:val="22"/>
        </w:rPr>
      </w:pPr>
      <w:r w:rsidRPr="00F10EFE">
        <w:rPr>
          <w:rFonts w:ascii="Verdana" w:hAnsi="Verdana" w:cs="Arial"/>
          <w:sz w:val="22"/>
          <w:szCs w:val="22"/>
        </w:rPr>
        <w:t>Geoportal Infraestructura de Datos Espaciales de Santiago de Cali – IDESC, para la ciudad de Santiago de Cali.</w:t>
      </w:r>
    </w:p>
    <w:p w14:paraId="6A355FBB" w14:textId="77777777" w:rsidR="00B35A8C" w:rsidRPr="00F10EFE" w:rsidRDefault="00B35A8C" w:rsidP="00B863F1">
      <w:pPr>
        <w:pStyle w:val="Prrafodelista"/>
        <w:numPr>
          <w:ilvl w:val="0"/>
          <w:numId w:val="5"/>
        </w:numPr>
        <w:rPr>
          <w:rFonts w:ascii="Verdana" w:hAnsi="Verdana" w:cs="Arial"/>
          <w:sz w:val="22"/>
          <w:szCs w:val="22"/>
        </w:rPr>
      </w:pPr>
      <w:r w:rsidRPr="00F10EFE">
        <w:rPr>
          <w:rFonts w:ascii="Verdana" w:hAnsi="Verdana" w:cs="Arial"/>
          <w:sz w:val="22"/>
          <w:szCs w:val="22"/>
        </w:rPr>
        <w:t>Geoportal Gerencia de Gestión Catastral, para Barranquilla</w:t>
      </w:r>
    </w:p>
    <w:p w14:paraId="1CA667F2" w14:textId="77777777" w:rsidR="00B35A8C" w:rsidRPr="00F10EFE" w:rsidRDefault="00B35A8C" w:rsidP="00B863F1">
      <w:pPr>
        <w:pStyle w:val="Prrafodelista"/>
        <w:numPr>
          <w:ilvl w:val="0"/>
          <w:numId w:val="6"/>
        </w:numPr>
        <w:rPr>
          <w:rFonts w:ascii="Verdana" w:hAnsi="Verdana" w:cs="Arial"/>
          <w:sz w:val="22"/>
          <w:szCs w:val="22"/>
        </w:rPr>
      </w:pPr>
      <w:r w:rsidRPr="00F10EFE">
        <w:rPr>
          <w:rFonts w:ascii="Verdana" w:hAnsi="Verdana" w:cs="Arial"/>
          <w:sz w:val="22"/>
          <w:szCs w:val="22"/>
        </w:rPr>
        <w:t>Geoportal Mapas Medellín, para la ciudad de Medellín</w:t>
      </w:r>
    </w:p>
    <w:p w14:paraId="36EE6EAE" w14:textId="77777777" w:rsidR="00B35A8C" w:rsidRPr="00F10EFE" w:rsidRDefault="00B35A8C" w:rsidP="00B863F1">
      <w:pPr>
        <w:pStyle w:val="Prrafodelista"/>
        <w:numPr>
          <w:ilvl w:val="0"/>
          <w:numId w:val="6"/>
        </w:numPr>
        <w:rPr>
          <w:rFonts w:ascii="Verdana" w:hAnsi="Verdana" w:cs="Arial"/>
          <w:sz w:val="22"/>
          <w:szCs w:val="22"/>
        </w:rPr>
      </w:pPr>
      <w:r w:rsidRPr="00F10EFE">
        <w:rPr>
          <w:rFonts w:ascii="Verdana" w:hAnsi="Verdana" w:cs="Arial"/>
          <w:sz w:val="22"/>
          <w:szCs w:val="22"/>
        </w:rPr>
        <w:t>Geoportal de la Gobernación de Antioquia, para el resto de municipios de Antioquia.</w:t>
      </w:r>
    </w:p>
    <w:p w14:paraId="7418D2CA" w14:textId="77777777" w:rsidR="00B35A8C" w:rsidRPr="00F10EFE" w:rsidRDefault="00B35A8C" w:rsidP="00F10EFE">
      <w:pPr>
        <w:pStyle w:val="Prrafodelista"/>
        <w:ind w:left="1571"/>
        <w:rPr>
          <w:rFonts w:ascii="Verdana" w:hAnsi="Verdana" w:cs="Arial"/>
          <w:sz w:val="22"/>
          <w:szCs w:val="22"/>
        </w:rPr>
      </w:pPr>
    </w:p>
    <w:p w14:paraId="0B02A8E3" w14:textId="78B077E9" w:rsidR="00B35A8C" w:rsidRDefault="00B35A8C" w:rsidP="00DB4B91">
      <w:pPr>
        <w:ind w:left="284"/>
        <w:rPr>
          <w:rFonts w:ascii="Verdana" w:hAnsi="Verdana" w:cs="Arial"/>
          <w:sz w:val="22"/>
          <w:szCs w:val="22"/>
        </w:rPr>
      </w:pPr>
      <w:r w:rsidRPr="00C42376">
        <w:rPr>
          <w:rFonts w:ascii="Verdana" w:hAnsi="Verdana" w:cs="Arial"/>
          <w:b/>
          <w:sz w:val="22"/>
          <w:szCs w:val="22"/>
        </w:rPr>
        <w:t>Registros Catastrales, Registros 1 y 2 o Registros Alfanuméricos</w:t>
      </w:r>
      <w:r w:rsidRPr="00C42376">
        <w:rPr>
          <w:rFonts w:ascii="Verdana" w:hAnsi="Verdana" w:cs="Arial"/>
          <w:sz w:val="22"/>
          <w:szCs w:val="22"/>
        </w:rPr>
        <w:t>: registros extraídos de la base de datos catastral.</w:t>
      </w:r>
    </w:p>
    <w:p w14:paraId="7797C526" w14:textId="77777777" w:rsidR="0088178C" w:rsidRPr="00DB4B91" w:rsidRDefault="0088178C" w:rsidP="00DB4B91">
      <w:pPr>
        <w:ind w:left="284"/>
        <w:rPr>
          <w:rFonts w:ascii="Verdana" w:hAnsi="Verdana" w:cs="Arial"/>
          <w:sz w:val="22"/>
          <w:szCs w:val="22"/>
        </w:rPr>
      </w:pPr>
    </w:p>
    <w:p w14:paraId="0015B6CE" w14:textId="77777777" w:rsidR="00B35A8C" w:rsidRPr="00C42376" w:rsidRDefault="00B35A8C" w:rsidP="00C42376">
      <w:pPr>
        <w:ind w:left="284"/>
        <w:rPr>
          <w:rFonts w:ascii="Verdana" w:hAnsi="Verdana" w:cs="Arial"/>
          <w:sz w:val="22"/>
          <w:szCs w:val="22"/>
        </w:rPr>
      </w:pPr>
      <w:r w:rsidRPr="00C42376">
        <w:rPr>
          <w:rFonts w:ascii="Verdana" w:hAnsi="Verdana" w:cs="Arial"/>
          <w:b/>
          <w:sz w:val="22"/>
          <w:szCs w:val="22"/>
        </w:rPr>
        <w:lastRenderedPageBreak/>
        <w:t>Riesgo de desastres:</w:t>
      </w:r>
      <w:r w:rsidRPr="00C42376">
        <w:rPr>
          <w:rFonts w:ascii="Verdana" w:hAnsi="Verdana" w:cs="Arial"/>
          <w:sz w:val="22"/>
          <w:szCs w:val="22"/>
        </w:rPr>
        <w:t xml:space="preserve"> “Corresponde a los daños o pérdidas potenciales que pueden presentarse debido a los eventos físicos peligrosos de origen natural, socio-natural tecnológico, biosanitario o humano no intencional, en un período de tiempo específico y que son determinados por la vulnerabilidad de los elementos expuestos; por consiguiente el riesgo de desastres se deriva de la combinación de la amenaza y la vulnerabilidad”. La Ley 388 de 1997 plantea que es necesario determinar las zonas no urbanizables que presenten riesgos para la localización de asentamientos humanos, por amenazas naturales. Las afectaciones más recurrentes se presentan por la ocurrencia de movimientos en masa, inundaciones y avenidas torrenciales, por lo que se priorizará el análisis de estos fenómenos, los demás se adelantarán en consideración a la disponibilidad de información. (Ley 9 de 1989 y Ley 2 de 1991).</w:t>
      </w:r>
    </w:p>
    <w:p w14:paraId="5C12A200" w14:textId="77777777" w:rsidR="00B35A8C" w:rsidRPr="00F10EFE" w:rsidRDefault="00B35A8C" w:rsidP="00F10EFE">
      <w:pPr>
        <w:pStyle w:val="Prrafodelista"/>
        <w:rPr>
          <w:rFonts w:ascii="Verdana" w:hAnsi="Verdana" w:cs="Arial"/>
          <w:b/>
          <w:sz w:val="22"/>
          <w:szCs w:val="22"/>
        </w:rPr>
      </w:pPr>
    </w:p>
    <w:p w14:paraId="60257CBF" w14:textId="77777777" w:rsidR="00C42376" w:rsidRDefault="00B35A8C" w:rsidP="00C42376">
      <w:pPr>
        <w:ind w:left="284"/>
        <w:rPr>
          <w:rFonts w:ascii="Verdana" w:hAnsi="Verdana" w:cs="Arial"/>
          <w:sz w:val="22"/>
          <w:szCs w:val="22"/>
        </w:rPr>
      </w:pPr>
      <w:r w:rsidRPr="00C42376">
        <w:rPr>
          <w:rFonts w:ascii="Verdana" w:hAnsi="Verdana" w:cs="Arial"/>
          <w:b/>
          <w:sz w:val="22"/>
          <w:szCs w:val="22"/>
        </w:rPr>
        <w:t>Suelo Urbano:</w:t>
      </w:r>
      <w:r w:rsidRPr="00C42376">
        <w:rPr>
          <w:rFonts w:ascii="Verdana" w:hAnsi="Verdana" w:cs="Arial"/>
          <w:sz w:val="22"/>
          <w:szCs w:val="22"/>
        </w:rPr>
        <w:t xml:space="preserve"> “constituyen el suelo urbano, las áreas del territorio distrital o municipal destinadas a usos urbanos por el plan de ordenamiento,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planes de ordenamiento territorial”.</w:t>
      </w:r>
    </w:p>
    <w:p w14:paraId="52866C2B" w14:textId="77777777" w:rsidR="00C42376" w:rsidRDefault="00C42376" w:rsidP="00C42376">
      <w:pPr>
        <w:ind w:left="284"/>
        <w:rPr>
          <w:rFonts w:ascii="Verdana" w:hAnsi="Verdana" w:cs="Arial"/>
          <w:b/>
          <w:sz w:val="22"/>
          <w:szCs w:val="22"/>
        </w:rPr>
      </w:pPr>
    </w:p>
    <w:p w14:paraId="258C3E74" w14:textId="77777777" w:rsidR="00C42376" w:rsidRDefault="00B35A8C" w:rsidP="00C42376">
      <w:pPr>
        <w:ind w:left="284"/>
        <w:rPr>
          <w:rFonts w:ascii="Verdana" w:hAnsi="Verdana" w:cs="Arial"/>
          <w:sz w:val="22"/>
          <w:szCs w:val="22"/>
        </w:rPr>
      </w:pPr>
      <w:r w:rsidRPr="00C42376">
        <w:rPr>
          <w:rFonts w:ascii="Verdana" w:hAnsi="Verdana" w:cs="Arial"/>
          <w:b/>
          <w:sz w:val="22"/>
          <w:szCs w:val="22"/>
        </w:rPr>
        <w:t>Suelo de Expansión Urbana:</w:t>
      </w:r>
      <w:r w:rsidRPr="00C42376">
        <w:rPr>
          <w:rFonts w:ascii="Verdana" w:hAnsi="Verdana" w:cs="Arial"/>
          <w:sz w:val="22"/>
          <w:szCs w:val="22"/>
        </w:rPr>
        <w:t xml:space="preserve"> “constituido por la porción del territorio municipal destinada a la expansión urbana, que se habilitará para el uso urbano durante la vigencia del plan de ordenamiento, según lo determinen los Programas de Ejecución”.</w:t>
      </w:r>
    </w:p>
    <w:p w14:paraId="36AAA4B0" w14:textId="77777777" w:rsidR="00C42376" w:rsidRDefault="00C42376" w:rsidP="00C42376">
      <w:pPr>
        <w:ind w:left="284"/>
        <w:rPr>
          <w:rFonts w:ascii="Verdana" w:hAnsi="Verdana" w:cs="Arial"/>
          <w:b/>
          <w:sz w:val="22"/>
          <w:szCs w:val="22"/>
        </w:rPr>
      </w:pPr>
    </w:p>
    <w:p w14:paraId="007D5A9C" w14:textId="77777777" w:rsidR="00C42376" w:rsidRDefault="00B35A8C" w:rsidP="00C42376">
      <w:pPr>
        <w:ind w:left="284"/>
        <w:rPr>
          <w:rFonts w:ascii="Verdana" w:hAnsi="Verdana" w:cs="Arial"/>
          <w:sz w:val="22"/>
          <w:szCs w:val="22"/>
        </w:rPr>
      </w:pPr>
      <w:r w:rsidRPr="00C42376">
        <w:rPr>
          <w:rFonts w:ascii="Verdana" w:hAnsi="Verdana" w:cs="Arial"/>
          <w:b/>
          <w:sz w:val="22"/>
          <w:szCs w:val="22"/>
        </w:rPr>
        <w:t>Suelo Rural:</w:t>
      </w:r>
      <w:r w:rsidRPr="00C42376">
        <w:rPr>
          <w:rFonts w:ascii="Verdana" w:hAnsi="Verdana" w:cs="Arial"/>
          <w:sz w:val="22"/>
          <w:szCs w:val="22"/>
        </w:rPr>
        <w:t xml:space="preserve"> “constituyen esta categoría los terrenos no aptos para el uso urbano, por razones de oportunidad, o por su destinación a usos agrícolas, ganaderos, forestales, de explotación de recursos naturales y actividades análogas”.</w:t>
      </w:r>
    </w:p>
    <w:p w14:paraId="6798BF3E" w14:textId="77777777" w:rsidR="00C42376" w:rsidRDefault="00C42376" w:rsidP="00C42376">
      <w:pPr>
        <w:ind w:left="284"/>
        <w:rPr>
          <w:rFonts w:ascii="Verdana" w:hAnsi="Verdana" w:cs="Arial"/>
          <w:b/>
          <w:sz w:val="22"/>
          <w:szCs w:val="22"/>
        </w:rPr>
      </w:pPr>
    </w:p>
    <w:p w14:paraId="2318FF5C" w14:textId="77777777" w:rsidR="00C42376" w:rsidRDefault="00B35A8C" w:rsidP="00C42376">
      <w:pPr>
        <w:ind w:left="284"/>
        <w:rPr>
          <w:rFonts w:ascii="Verdana" w:hAnsi="Verdana" w:cs="Arial"/>
          <w:sz w:val="22"/>
          <w:szCs w:val="22"/>
        </w:rPr>
      </w:pPr>
      <w:r w:rsidRPr="00C42376">
        <w:rPr>
          <w:rFonts w:ascii="Verdana" w:hAnsi="Verdana" w:cs="Arial"/>
          <w:b/>
          <w:sz w:val="22"/>
          <w:szCs w:val="22"/>
        </w:rPr>
        <w:t>Suelo Suburbano:</w:t>
      </w:r>
      <w:r w:rsidRPr="00C42376">
        <w:rPr>
          <w:rFonts w:ascii="Verdana" w:hAnsi="Verdana" w:cs="Arial"/>
          <w:sz w:val="22"/>
          <w:szCs w:val="22"/>
        </w:rPr>
        <w:t xml:space="preserve"> “constituyen esta categoría las áreas ubicadas dentro del suelo rural, en las que se mezclan los usos del suelo y las formas de vida del campo y la ciudad, diferentes a las clasificadas como áreas de expansión urbana, que pueden ser objeto de desarrollo con restricciones de uso, de intensidad y de densidad, garantizando el autoabastecimiento en servicios públicos domiciliarios, de conformidad con lo establecido en la Ley 99 de 1993 y en la Ley 142 de 1994. Podrán formar parte de esta categoría los suelos correspondientes a los corredores urbanos interregionales”.</w:t>
      </w:r>
    </w:p>
    <w:p w14:paraId="27361F6D" w14:textId="77777777" w:rsidR="00C42376" w:rsidRDefault="00C42376" w:rsidP="00C42376">
      <w:pPr>
        <w:ind w:left="284"/>
        <w:rPr>
          <w:rFonts w:ascii="Verdana" w:hAnsi="Verdana" w:cs="Arial"/>
          <w:b/>
          <w:sz w:val="22"/>
          <w:szCs w:val="22"/>
        </w:rPr>
      </w:pPr>
    </w:p>
    <w:p w14:paraId="7AD19D24" w14:textId="11092752" w:rsidR="00B35A8C" w:rsidRPr="00C42376" w:rsidRDefault="00B35A8C" w:rsidP="00C42376">
      <w:pPr>
        <w:ind w:left="284"/>
        <w:rPr>
          <w:rFonts w:ascii="Verdana" w:hAnsi="Verdana" w:cs="Arial"/>
          <w:sz w:val="22"/>
          <w:szCs w:val="22"/>
        </w:rPr>
      </w:pPr>
      <w:r w:rsidRPr="00C42376">
        <w:rPr>
          <w:rFonts w:ascii="Verdana" w:hAnsi="Verdana" w:cs="Arial"/>
          <w:b/>
          <w:sz w:val="22"/>
          <w:szCs w:val="22"/>
        </w:rPr>
        <w:t>Suelo de protección:</w:t>
      </w:r>
      <w:r w:rsidRPr="00C42376">
        <w:rPr>
          <w:rFonts w:ascii="Verdana" w:hAnsi="Verdana" w:cs="Arial"/>
          <w:sz w:val="22"/>
          <w:szCs w:val="22"/>
        </w:rPr>
        <w:t xml:space="preserve"> “constituido por las zonas y áreas de terrenos localizados dentro de cualquiera de las anteriores clases, que, por sus características </w:t>
      </w:r>
      <w:r w:rsidRPr="00C42376">
        <w:rPr>
          <w:rFonts w:ascii="Verdana" w:hAnsi="Verdana" w:cs="Arial"/>
          <w:sz w:val="22"/>
          <w:szCs w:val="22"/>
        </w:rPr>
        <w:lastRenderedPageBreak/>
        <w:t>geográficas, paisajísticas o ambientales, o por formar parte de las zonas de utilidad pública para la ubicación de infraestructuras para la provisión de servicios públicos domiciliarios o de las áreas de amenazas y riesgo no mitigable para la localización de asentamientos humanos, tiene restringida la posibilidad de urbanizarse”.</w:t>
      </w:r>
    </w:p>
    <w:p w14:paraId="56865A0C" w14:textId="77777777" w:rsidR="00B35A8C" w:rsidRPr="00F10EFE" w:rsidRDefault="00B35A8C" w:rsidP="00F10EFE">
      <w:pPr>
        <w:pStyle w:val="Prrafodelista"/>
        <w:rPr>
          <w:rFonts w:ascii="Verdana" w:hAnsi="Verdana" w:cs="Arial"/>
          <w:sz w:val="22"/>
          <w:szCs w:val="22"/>
        </w:rPr>
      </w:pPr>
    </w:p>
    <w:p w14:paraId="13A676D9" w14:textId="77777777" w:rsidR="00C42376" w:rsidRDefault="00B35A8C" w:rsidP="00C42376">
      <w:pPr>
        <w:ind w:left="284"/>
        <w:rPr>
          <w:rFonts w:ascii="Verdana" w:hAnsi="Verdana" w:cs="Arial"/>
          <w:sz w:val="22"/>
          <w:szCs w:val="22"/>
        </w:rPr>
      </w:pPr>
      <w:r w:rsidRPr="00C42376">
        <w:rPr>
          <w:rFonts w:ascii="Verdana" w:hAnsi="Verdana" w:cs="Arial"/>
          <w:b/>
          <w:sz w:val="22"/>
          <w:szCs w:val="22"/>
        </w:rPr>
        <w:t>Uso:</w:t>
      </w:r>
      <w:r w:rsidRPr="00C42376">
        <w:rPr>
          <w:rFonts w:ascii="Verdana" w:hAnsi="Verdana" w:cs="Arial"/>
          <w:sz w:val="22"/>
          <w:szCs w:val="22"/>
        </w:rPr>
        <w:t xml:space="preserve"> La Unidad Administrativa Especial de Catastro Bogotá define que “es la destinación que se le da a los elementos materiales de la estructura urbana en las distintas actividades ciudadanas. Corresponde a la actividad económica que se le está dando a la construcción en un predio al momento de su reconocimiento”.</w:t>
      </w:r>
    </w:p>
    <w:p w14:paraId="0E89BC28" w14:textId="77777777" w:rsidR="00C42376" w:rsidRDefault="00C42376" w:rsidP="00C42376">
      <w:pPr>
        <w:ind w:left="284"/>
        <w:rPr>
          <w:rFonts w:ascii="Verdana" w:hAnsi="Verdana" w:cs="Arial"/>
          <w:b/>
          <w:sz w:val="22"/>
          <w:szCs w:val="22"/>
        </w:rPr>
      </w:pPr>
    </w:p>
    <w:p w14:paraId="5E30CB85" w14:textId="77777777" w:rsidR="00C42376" w:rsidRDefault="00B35A8C" w:rsidP="00C42376">
      <w:pPr>
        <w:ind w:left="284"/>
        <w:rPr>
          <w:rFonts w:ascii="Verdana" w:hAnsi="Verdana" w:cs="Arial"/>
          <w:sz w:val="22"/>
          <w:szCs w:val="22"/>
        </w:rPr>
      </w:pPr>
      <w:r w:rsidRPr="00C42376">
        <w:rPr>
          <w:rFonts w:ascii="Verdana" w:hAnsi="Verdana" w:cs="Arial"/>
          <w:b/>
          <w:sz w:val="22"/>
          <w:szCs w:val="22"/>
        </w:rPr>
        <w:t>Uso del suelo:</w:t>
      </w:r>
      <w:r w:rsidRPr="00C42376">
        <w:rPr>
          <w:rFonts w:ascii="Verdana" w:hAnsi="Verdana" w:cs="Arial"/>
          <w:sz w:val="22"/>
          <w:szCs w:val="22"/>
        </w:rPr>
        <w:t xml:space="preserve"> “es la destinación asignada al suelo por el plan de ordenamiento territorial o los instrumentos que lo desarrollen o complementen, de conformidad con las actividades que se puedan desarrollar sobre el mismo. Los usos pueden ser principales, compatibles, complementarios, restringidos y prohibidos. Cuando un uso no haya sido clasificado como principal, compatible, complementario o restringido se entenderá prohibido”. El uso del suelo en los municipios y distritos es reglamentado con las normas urbanísticas adoptadas en los respectivos Planes de Ordenamiento Territorial, Esquemas o Planes Básicos aprobados mediante acuerdo municipal o distrital y reglamentados mediante los decretos reglamentarios.</w:t>
      </w:r>
    </w:p>
    <w:p w14:paraId="4652133E" w14:textId="77777777" w:rsidR="00C42376" w:rsidRDefault="00C42376" w:rsidP="00C42376">
      <w:pPr>
        <w:ind w:left="284"/>
        <w:rPr>
          <w:rFonts w:ascii="Verdana" w:hAnsi="Verdana" w:cs="Arial"/>
          <w:b/>
          <w:sz w:val="22"/>
          <w:szCs w:val="22"/>
        </w:rPr>
      </w:pPr>
    </w:p>
    <w:p w14:paraId="4CC411BF" w14:textId="77777777" w:rsidR="00C42376" w:rsidRDefault="00B35A8C" w:rsidP="00C42376">
      <w:pPr>
        <w:ind w:left="284"/>
        <w:rPr>
          <w:rFonts w:ascii="Verdana" w:hAnsi="Verdana" w:cs="Arial"/>
          <w:sz w:val="22"/>
          <w:szCs w:val="22"/>
        </w:rPr>
      </w:pPr>
      <w:r w:rsidRPr="00C42376">
        <w:rPr>
          <w:rFonts w:ascii="Verdana" w:hAnsi="Verdana" w:cs="Arial"/>
          <w:b/>
          <w:sz w:val="22"/>
          <w:szCs w:val="22"/>
        </w:rPr>
        <w:t>Uso Principal:</w:t>
      </w:r>
      <w:r w:rsidRPr="00C42376">
        <w:rPr>
          <w:rFonts w:ascii="Verdana" w:hAnsi="Verdana" w:cs="Arial"/>
          <w:sz w:val="22"/>
          <w:szCs w:val="22"/>
        </w:rPr>
        <w:t xml:space="preserve"> “uso deseable que coincide con la función específica de la zona y que ofrece las mayores ventajas para el desarrollo sostenible”.</w:t>
      </w:r>
    </w:p>
    <w:p w14:paraId="553380E8" w14:textId="77777777" w:rsidR="00C42376" w:rsidRDefault="00C42376" w:rsidP="00C42376">
      <w:pPr>
        <w:ind w:left="284"/>
        <w:rPr>
          <w:rFonts w:ascii="Verdana" w:hAnsi="Verdana" w:cs="Arial"/>
          <w:b/>
          <w:sz w:val="22"/>
          <w:szCs w:val="22"/>
        </w:rPr>
      </w:pPr>
    </w:p>
    <w:p w14:paraId="60B2008F" w14:textId="77777777" w:rsidR="00C42376" w:rsidRDefault="00B35A8C" w:rsidP="00C42376">
      <w:pPr>
        <w:ind w:left="284"/>
        <w:rPr>
          <w:rFonts w:ascii="Verdana" w:hAnsi="Verdana" w:cs="Arial"/>
          <w:sz w:val="22"/>
          <w:szCs w:val="22"/>
        </w:rPr>
      </w:pPr>
      <w:r w:rsidRPr="00C42376">
        <w:rPr>
          <w:rFonts w:ascii="Verdana" w:hAnsi="Verdana" w:cs="Arial"/>
          <w:b/>
          <w:sz w:val="22"/>
          <w:szCs w:val="22"/>
        </w:rPr>
        <w:t>Uso Compatible o Complementario: “</w:t>
      </w:r>
      <w:r w:rsidRPr="00C42376">
        <w:rPr>
          <w:rFonts w:ascii="Verdana" w:hAnsi="Verdana" w:cs="Arial"/>
          <w:sz w:val="22"/>
          <w:szCs w:val="22"/>
        </w:rPr>
        <w:t>uso que no se opone al principal y concuerda con la potencialidad, productividad y protección del suelo y demás recursos naturales conexos”.</w:t>
      </w:r>
    </w:p>
    <w:p w14:paraId="67155213" w14:textId="77777777" w:rsidR="00C42376" w:rsidRDefault="00C42376" w:rsidP="00C42376">
      <w:pPr>
        <w:ind w:left="284"/>
        <w:rPr>
          <w:rFonts w:ascii="Verdana" w:hAnsi="Verdana" w:cs="Arial"/>
          <w:b/>
          <w:sz w:val="22"/>
          <w:szCs w:val="22"/>
        </w:rPr>
      </w:pPr>
    </w:p>
    <w:p w14:paraId="6CEB77F7" w14:textId="77777777" w:rsidR="00C42376" w:rsidRDefault="00B35A8C" w:rsidP="00C42376">
      <w:pPr>
        <w:ind w:left="284"/>
        <w:rPr>
          <w:rFonts w:ascii="Verdana" w:hAnsi="Verdana" w:cs="Arial"/>
          <w:sz w:val="22"/>
          <w:szCs w:val="22"/>
        </w:rPr>
      </w:pPr>
      <w:r w:rsidRPr="00C42376">
        <w:rPr>
          <w:rFonts w:ascii="Verdana" w:hAnsi="Verdana" w:cs="Arial"/>
          <w:b/>
          <w:sz w:val="22"/>
          <w:szCs w:val="22"/>
        </w:rPr>
        <w:t>Uso Condicionado o Restringido:</w:t>
      </w:r>
      <w:r w:rsidRPr="00C42376">
        <w:rPr>
          <w:rFonts w:ascii="Verdana" w:hAnsi="Verdana" w:cs="Arial"/>
          <w:sz w:val="22"/>
          <w:szCs w:val="22"/>
        </w:rPr>
        <w:t xml:space="preserve"> “Uso que presenta algún grado de incompatibilidad urbanística y/o ambiental que se puede controlar de acuerdo con las condiciones que impongan las normas urbanísticas y ambientales correspondientes”.</w:t>
      </w:r>
    </w:p>
    <w:p w14:paraId="0A6FCC45" w14:textId="77777777" w:rsidR="00C42376" w:rsidRDefault="00C42376" w:rsidP="00C42376">
      <w:pPr>
        <w:ind w:left="284"/>
        <w:rPr>
          <w:rFonts w:ascii="Verdana" w:hAnsi="Verdana" w:cs="Arial"/>
          <w:b/>
          <w:sz w:val="22"/>
          <w:szCs w:val="22"/>
        </w:rPr>
      </w:pPr>
    </w:p>
    <w:p w14:paraId="46CC8ECC" w14:textId="77777777" w:rsidR="00C42376" w:rsidRDefault="00B35A8C" w:rsidP="00C42376">
      <w:pPr>
        <w:ind w:left="284"/>
        <w:rPr>
          <w:rFonts w:ascii="Verdana" w:hAnsi="Verdana" w:cs="Arial"/>
          <w:sz w:val="22"/>
          <w:szCs w:val="22"/>
        </w:rPr>
      </w:pPr>
      <w:r w:rsidRPr="00C42376">
        <w:rPr>
          <w:rFonts w:ascii="Verdana" w:hAnsi="Verdana" w:cs="Arial"/>
          <w:b/>
          <w:sz w:val="22"/>
          <w:szCs w:val="22"/>
        </w:rPr>
        <w:t>Uso Prohibido:</w:t>
      </w:r>
      <w:r w:rsidRPr="00C42376">
        <w:rPr>
          <w:rFonts w:ascii="Verdana" w:hAnsi="Verdana" w:cs="Arial"/>
          <w:sz w:val="22"/>
          <w:szCs w:val="22"/>
        </w:rPr>
        <w:t xml:space="preserve"> “Uso incompatible con el uso principal de una zona, con los objetivos de conservación ambiental y de planificación ambiental y territorial, y por consiguiente implica graves riesgos de tipo ecológico y/o social”.</w:t>
      </w:r>
    </w:p>
    <w:p w14:paraId="7BE29B12" w14:textId="77777777" w:rsidR="00C42376" w:rsidRDefault="00C42376" w:rsidP="00C42376">
      <w:pPr>
        <w:ind w:left="284"/>
        <w:rPr>
          <w:rFonts w:ascii="Verdana" w:hAnsi="Verdana" w:cs="Arial"/>
          <w:b/>
          <w:sz w:val="22"/>
          <w:szCs w:val="22"/>
        </w:rPr>
      </w:pPr>
    </w:p>
    <w:p w14:paraId="28F31A92" w14:textId="620FD42D" w:rsidR="00C42376" w:rsidRPr="0088178C" w:rsidRDefault="00B35A8C" w:rsidP="0088178C">
      <w:pPr>
        <w:ind w:left="284"/>
        <w:rPr>
          <w:rFonts w:ascii="Verdana" w:hAnsi="Verdana" w:cs="Arial"/>
          <w:sz w:val="22"/>
          <w:szCs w:val="22"/>
        </w:rPr>
      </w:pPr>
      <w:r w:rsidRPr="00C42376">
        <w:rPr>
          <w:rFonts w:ascii="Verdana" w:hAnsi="Verdana" w:cs="Arial"/>
          <w:b/>
          <w:sz w:val="22"/>
          <w:szCs w:val="22"/>
        </w:rPr>
        <w:t>Vivienda de Interés Social (VIS):</w:t>
      </w:r>
      <w:r w:rsidRPr="00C42376">
        <w:rPr>
          <w:rFonts w:ascii="Verdana" w:hAnsi="Verdana" w:cs="Arial"/>
          <w:sz w:val="22"/>
          <w:szCs w:val="22"/>
        </w:rPr>
        <w:t xml:space="preserve"> es aquella que reúne los elementos que aseguran su habitabilidad, “cuyo valor máximo es de ciento treinta y cinco salarios mínimos legales mensuales vigentes (135 smlmv)”. El monto del número de salarios mínimos es definido en el Plan de Desarrollo Vigente.</w:t>
      </w:r>
    </w:p>
    <w:p w14:paraId="26E51EE7" w14:textId="366DAF84" w:rsidR="00B35A8C" w:rsidRPr="00C42376" w:rsidRDefault="00B35A8C" w:rsidP="00C42376">
      <w:pPr>
        <w:ind w:left="284"/>
        <w:rPr>
          <w:rFonts w:ascii="Verdana" w:hAnsi="Verdana" w:cs="Arial"/>
          <w:sz w:val="22"/>
          <w:szCs w:val="22"/>
        </w:rPr>
      </w:pPr>
      <w:r w:rsidRPr="00C42376">
        <w:rPr>
          <w:rFonts w:ascii="Verdana" w:hAnsi="Verdana" w:cs="Arial"/>
          <w:b/>
          <w:sz w:val="22"/>
          <w:szCs w:val="22"/>
        </w:rPr>
        <w:lastRenderedPageBreak/>
        <w:t>Vulnerabilidad:</w:t>
      </w:r>
      <w:r w:rsidRPr="00C42376">
        <w:rPr>
          <w:rFonts w:ascii="Verdana" w:hAnsi="Verdana" w:cs="Arial"/>
          <w:sz w:val="22"/>
          <w:szCs w:val="22"/>
        </w:rPr>
        <w:t xml:space="preserve"> “Susceptibilidad o fragilidad física, económica, social, ambiental o institucional que tiene una comunidad de ser afectada o de sufrir efectos adversos en caso de que un evento físico peligroso se presente. Corresponde a la predisposición a sufrir pérdidas o daños de los seres humanos y sus medios de subsistencia, así como de sus sistemas físicos, sociales, económicos y de apoyo que pueden ser afectados por eventos físicos peligrosos”.</w:t>
      </w:r>
    </w:p>
    <w:p w14:paraId="01D80895" w14:textId="77777777" w:rsidR="00B147B6" w:rsidRPr="00DB4B91" w:rsidRDefault="00B147B6" w:rsidP="00DB4B91">
      <w:pPr>
        <w:rPr>
          <w:rFonts w:ascii="Verdana" w:hAnsi="Verdana" w:cs="Arial"/>
          <w:b/>
          <w:sz w:val="22"/>
          <w:szCs w:val="22"/>
        </w:rPr>
      </w:pPr>
    </w:p>
    <w:p w14:paraId="71B3C62A" w14:textId="562AD5DA" w:rsidR="00B147B6" w:rsidRPr="00F10EFE" w:rsidRDefault="00B147B6" w:rsidP="00B863F1">
      <w:pPr>
        <w:pStyle w:val="Prrafodelista"/>
        <w:numPr>
          <w:ilvl w:val="0"/>
          <w:numId w:val="2"/>
        </w:numPr>
        <w:ind w:left="426" w:hanging="426"/>
        <w:rPr>
          <w:rFonts w:ascii="Verdana" w:hAnsi="Verdana" w:cs="Arial"/>
          <w:b/>
          <w:sz w:val="22"/>
          <w:szCs w:val="22"/>
        </w:rPr>
      </w:pPr>
      <w:r w:rsidRPr="00F10EFE">
        <w:rPr>
          <w:rFonts w:ascii="Verdana" w:hAnsi="Verdana" w:cs="Arial"/>
          <w:b/>
          <w:sz w:val="22"/>
          <w:szCs w:val="22"/>
        </w:rPr>
        <w:t>ABREVIATURAS</w:t>
      </w:r>
    </w:p>
    <w:p w14:paraId="7B98C522" w14:textId="77777777" w:rsidR="003B3B38" w:rsidRPr="00F10EFE" w:rsidRDefault="003B3B38" w:rsidP="00F10EFE">
      <w:pPr>
        <w:pStyle w:val="Prrafodelista"/>
        <w:ind w:left="0"/>
        <w:rPr>
          <w:rFonts w:ascii="Verdana" w:hAnsi="Verdana" w:cs="Arial"/>
          <w:b/>
          <w:sz w:val="22"/>
          <w:szCs w:val="22"/>
        </w:rPr>
      </w:pPr>
    </w:p>
    <w:p w14:paraId="27970466" w14:textId="77777777" w:rsidR="003B3B38" w:rsidRPr="00F10EFE" w:rsidRDefault="003B3B38" w:rsidP="00C42376">
      <w:pPr>
        <w:pStyle w:val="Textoindependiente"/>
        <w:spacing w:after="0"/>
        <w:ind w:firstLine="426"/>
        <w:rPr>
          <w:rFonts w:ascii="Verdana" w:hAnsi="Verdana"/>
          <w:sz w:val="22"/>
          <w:szCs w:val="22"/>
        </w:rPr>
      </w:pPr>
      <w:r w:rsidRPr="00F10EFE">
        <w:rPr>
          <w:rFonts w:ascii="Verdana" w:hAnsi="Verdana"/>
          <w:b/>
          <w:sz w:val="22"/>
          <w:szCs w:val="22"/>
        </w:rPr>
        <w:t>ICT:</w:t>
      </w:r>
      <w:r w:rsidRPr="00F10EFE">
        <w:rPr>
          <w:rFonts w:ascii="Verdana" w:hAnsi="Verdana"/>
          <w:b/>
          <w:spacing w:val="-3"/>
          <w:sz w:val="22"/>
          <w:szCs w:val="22"/>
        </w:rPr>
        <w:t xml:space="preserve"> </w:t>
      </w:r>
      <w:r w:rsidRPr="00F10EFE">
        <w:rPr>
          <w:rFonts w:ascii="Verdana" w:hAnsi="Verdana"/>
          <w:sz w:val="22"/>
          <w:szCs w:val="22"/>
        </w:rPr>
        <w:t>Instituto</w:t>
      </w:r>
      <w:r w:rsidRPr="00F10EFE">
        <w:rPr>
          <w:rFonts w:ascii="Verdana" w:hAnsi="Verdana"/>
          <w:spacing w:val="-4"/>
          <w:sz w:val="22"/>
          <w:szCs w:val="22"/>
        </w:rPr>
        <w:t xml:space="preserve"> </w:t>
      </w:r>
      <w:r w:rsidRPr="00F10EFE">
        <w:rPr>
          <w:rFonts w:ascii="Verdana" w:hAnsi="Verdana"/>
          <w:sz w:val="22"/>
          <w:szCs w:val="22"/>
        </w:rPr>
        <w:t>de</w:t>
      </w:r>
      <w:r w:rsidRPr="00F10EFE">
        <w:rPr>
          <w:rFonts w:ascii="Verdana" w:hAnsi="Verdana"/>
          <w:spacing w:val="-2"/>
          <w:sz w:val="22"/>
          <w:szCs w:val="22"/>
        </w:rPr>
        <w:t xml:space="preserve"> </w:t>
      </w:r>
      <w:r w:rsidRPr="00F10EFE">
        <w:rPr>
          <w:rFonts w:ascii="Verdana" w:hAnsi="Verdana"/>
          <w:sz w:val="22"/>
          <w:szCs w:val="22"/>
        </w:rPr>
        <w:t>Crédito</w:t>
      </w:r>
      <w:r w:rsidRPr="00F10EFE">
        <w:rPr>
          <w:rFonts w:ascii="Verdana" w:hAnsi="Verdana"/>
          <w:spacing w:val="-4"/>
          <w:sz w:val="22"/>
          <w:szCs w:val="22"/>
        </w:rPr>
        <w:t xml:space="preserve"> </w:t>
      </w:r>
      <w:r w:rsidRPr="00F10EFE">
        <w:rPr>
          <w:rFonts w:ascii="Verdana" w:hAnsi="Verdana"/>
          <w:sz w:val="22"/>
          <w:szCs w:val="22"/>
        </w:rPr>
        <w:t>Territorial.</w:t>
      </w:r>
    </w:p>
    <w:p w14:paraId="67908CA0" w14:textId="77777777" w:rsidR="003B3B38" w:rsidRPr="00F10EFE" w:rsidRDefault="003B3B38" w:rsidP="00C42376">
      <w:pPr>
        <w:pStyle w:val="Textoindependiente"/>
        <w:spacing w:after="0"/>
        <w:ind w:firstLine="426"/>
        <w:rPr>
          <w:rFonts w:ascii="Verdana" w:hAnsi="Verdana"/>
          <w:sz w:val="22"/>
          <w:szCs w:val="22"/>
        </w:rPr>
      </w:pPr>
      <w:r w:rsidRPr="00F10EFE">
        <w:rPr>
          <w:rFonts w:ascii="Verdana" w:hAnsi="Verdana"/>
          <w:b/>
          <w:sz w:val="22"/>
          <w:szCs w:val="22"/>
        </w:rPr>
        <w:t>IGAC</w:t>
      </w:r>
      <w:r w:rsidRPr="00F10EFE">
        <w:rPr>
          <w:rFonts w:ascii="Verdana" w:hAnsi="Verdana"/>
          <w:sz w:val="22"/>
          <w:szCs w:val="22"/>
        </w:rPr>
        <w:t>:</w:t>
      </w:r>
      <w:r w:rsidRPr="00F10EFE">
        <w:rPr>
          <w:rFonts w:ascii="Verdana" w:hAnsi="Verdana"/>
          <w:spacing w:val="-4"/>
          <w:sz w:val="22"/>
          <w:szCs w:val="22"/>
        </w:rPr>
        <w:t xml:space="preserve"> </w:t>
      </w:r>
      <w:r w:rsidRPr="00F10EFE">
        <w:rPr>
          <w:rFonts w:ascii="Verdana" w:hAnsi="Verdana"/>
          <w:sz w:val="22"/>
          <w:szCs w:val="22"/>
        </w:rPr>
        <w:t>Instituto</w:t>
      </w:r>
      <w:r w:rsidRPr="00F10EFE">
        <w:rPr>
          <w:rFonts w:ascii="Verdana" w:hAnsi="Verdana"/>
          <w:spacing w:val="-4"/>
          <w:sz w:val="22"/>
          <w:szCs w:val="22"/>
        </w:rPr>
        <w:t xml:space="preserve"> </w:t>
      </w:r>
      <w:r w:rsidRPr="00F10EFE">
        <w:rPr>
          <w:rFonts w:ascii="Verdana" w:hAnsi="Verdana"/>
          <w:sz w:val="22"/>
          <w:szCs w:val="22"/>
        </w:rPr>
        <w:t>Geográfico</w:t>
      </w:r>
      <w:r w:rsidRPr="00F10EFE">
        <w:rPr>
          <w:rFonts w:ascii="Verdana" w:hAnsi="Verdana"/>
          <w:spacing w:val="-2"/>
          <w:sz w:val="22"/>
          <w:szCs w:val="22"/>
        </w:rPr>
        <w:t xml:space="preserve"> </w:t>
      </w:r>
      <w:r w:rsidRPr="00F10EFE">
        <w:rPr>
          <w:rFonts w:ascii="Verdana" w:hAnsi="Verdana"/>
          <w:sz w:val="22"/>
          <w:szCs w:val="22"/>
        </w:rPr>
        <w:t>Agustín</w:t>
      </w:r>
      <w:r w:rsidRPr="00F10EFE">
        <w:rPr>
          <w:rFonts w:ascii="Verdana" w:hAnsi="Verdana"/>
          <w:spacing w:val="-2"/>
          <w:sz w:val="22"/>
          <w:szCs w:val="22"/>
        </w:rPr>
        <w:t xml:space="preserve"> </w:t>
      </w:r>
      <w:r w:rsidRPr="00F10EFE">
        <w:rPr>
          <w:rFonts w:ascii="Verdana" w:hAnsi="Verdana"/>
          <w:sz w:val="22"/>
          <w:szCs w:val="22"/>
        </w:rPr>
        <w:t>Codazzi</w:t>
      </w:r>
    </w:p>
    <w:p w14:paraId="2F6FD295" w14:textId="77777777" w:rsidR="003B3B38" w:rsidRPr="00F10EFE" w:rsidRDefault="003B3B38" w:rsidP="00C42376">
      <w:pPr>
        <w:pStyle w:val="Textoindependiente"/>
        <w:spacing w:after="0"/>
        <w:ind w:firstLine="426"/>
        <w:rPr>
          <w:rFonts w:ascii="Verdana" w:hAnsi="Verdana"/>
          <w:sz w:val="22"/>
          <w:szCs w:val="22"/>
        </w:rPr>
      </w:pPr>
      <w:r w:rsidRPr="00F10EFE">
        <w:rPr>
          <w:rFonts w:ascii="Verdana" w:hAnsi="Verdana"/>
          <w:b/>
          <w:sz w:val="22"/>
          <w:szCs w:val="22"/>
        </w:rPr>
        <w:t>INURBE:</w:t>
      </w:r>
      <w:r w:rsidRPr="00F10EFE">
        <w:rPr>
          <w:rFonts w:ascii="Verdana" w:hAnsi="Verdana"/>
          <w:b/>
          <w:spacing w:val="-1"/>
          <w:sz w:val="22"/>
          <w:szCs w:val="22"/>
        </w:rPr>
        <w:t xml:space="preserve"> </w:t>
      </w:r>
      <w:r w:rsidRPr="00F10EFE">
        <w:rPr>
          <w:rFonts w:ascii="Verdana" w:hAnsi="Verdana"/>
          <w:sz w:val="22"/>
          <w:szCs w:val="22"/>
        </w:rPr>
        <w:t>Instituto</w:t>
      </w:r>
      <w:r w:rsidRPr="00F10EFE">
        <w:rPr>
          <w:rFonts w:ascii="Verdana" w:hAnsi="Verdana"/>
          <w:spacing w:val="-3"/>
          <w:sz w:val="22"/>
          <w:szCs w:val="22"/>
        </w:rPr>
        <w:t xml:space="preserve"> </w:t>
      </w:r>
      <w:r w:rsidRPr="00F10EFE">
        <w:rPr>
          <w:rFonts w:ascii="Verdana" w:hAnsi="Verdana"/>
          <w:sz w:val="22"/>
          <w:szCs w:val="22"/>
        </w:rPr>
        <w:t>Nacional</w:t>
      </w:r>
      <w:r w:rsidRPr="00F10EFE">
        <w:rPr>
          <w:rFonts w:ascii="Verdana" w:hAnsi="Verdana"/>
          <w:spacing w:val="-2"/>
          <w:sz w:val="22"/>
          <w:szCs w:val="22"/>
        </w:rPr>
        <w:t xml:space="preserve"> </w:t>
      </w:r>
      <w:r w:rsidRPr="00F10EFE">
        <w:rPr>
          <w:rFonts w:ascii="Verdana" w:hAnsi="Verdana"/>
          <w:sz w:val="22"/>
          <w:szCs w:val="22"/>
        </w:rPr>
        <w:t>de</w:t>
      </w:r>
      <w:r w:rsidRPr="00F10EFE">
        <w:rPr>
          <w:rFonts w:ascii="Verdana" w:hAnsi="Verdana"/>
          <w:spacing w:val="-3"/>
          <w:sz w:val="22"/>
          <w:szCs w:val="22"/>
        </w:rPr>
        <w:t xml:space="preserve"> </w:t>
      </w:r>
      <w:r w:rsidRPr="00F10EFE">
        <w:rPr>
          <w:rFonts w:ascii="Verdana" w:hAnsi="Verdana"/>
          <w:sz w:val="22"/>
          <w:szCs w:val="22"/>
        </w:rPr>
        <w:t>Vivienda</w:t>
      </w:r>
      <w:r w:rsidRPr="00F10EFE">
        <w:rPr>
          <w:rFonts w:ascii="Verdana" w:hAnsi="Verdana"/>
          <w:spacing w:val="-3"/>
          <w:sz w:val="22"/>
          <w:szCs w:val="22"/>
        </w:rPr>
        <w:t xml:space="preserve"> </w:t>
      </w:r>
      <w:r w:rsidRPr="00F10EFE">
        <w:rPr>
          <w:rFonts w:ascii="Verdana" w:hAnsi="Verdana"/>
          <w:sz w:val="22"/>
          <w:szCs w:val="22"/>
        </w:rPr>
        <w:t>de</w:t>
      </w:r>
      <w:r w:rsidRPr="00F10EFE">
        <w:rPr>
          <w:rFonts w:ascii="Verdana" w:hAnsi="Verdana"/>
          <w:spacing w:val="-4"/>
          <w:sz w:val="22"/>
          <w:szCs w:val="22"/>
        </w:rPr>
        <w:t xml:space="preserve"> </w:t>
      </w:r>
      <w:r w:rsidRPr="00F10EFE">
        <w:rPr>
          <w:rFonts w:ascii="Verdana" w:hAnsi="Verdana"/>
          <w:sz w:val="22"/>
          <w:szCs w:val="22"/>
        </w:rPr>
        <w:t>Interés</w:t>
      </w:r>
      <w:r w:rsidRPr="00F10EFE">
        <w:rPr>
          <w:rFonts w:ascii="Verdana" w:hAnsi="Verdana"/>
          <w:spacing w:val="-2"/>
          <w:sz w:val="22"/>
          <w:szCs w:val="22"/>
        </w:rPr>
        <w:t xml:space="preserve"> </w:t>
      </w:r>
      <w:r w:rsidRPr="00F10EFE">
        <w:rPr>
          <w:rFonts w:ascii="Verdana" w:hAnsi="Verdana"/>
          <w:sz w:val="22"/>
          <w:szCs w:val="22"/>
        </w:rPr>
        <w:t>Social</w:t>
      </w:r>
      <w:r w:rsidRPr="00F10EFE">
        <w:rPr>
          <w:rFonts w:ascii="Verdana" w:hAnsi="Verdana"/>
          <w:spacing w:val="-3"/>
          <w:sz w:val="22"/>
          <w:szCs w:val="22"/>
        </w:rPr>
        <w:t xml:space="preserve"> </w:t>
      </w:r>
      <w:r w:rsidRPr="00F10EFE">
        <w:rPr>
          <w:rFonts w:ascii="Verdana" w:hAnsi="Verdana"/>
          <w:sz w:val="22"/>
          <w:szCs w:val="22"/>
        </w:rPr>
        <w:t>y</w:t>
      </w:r>
      <w:r w:rsidRPr="00F10EFE">
        <w:rPr>
          <w:rFonts w:ascii="Verdana" w:hAnsi="Verdana"/>
          <w:spacing w:val="-2"/>
          <w:sz w:val="22"/>
          <w:szCs w:val="22"/>
        </w:rPr>
        <w:t xml:space="preserve"> </w:t>
      </w:r>
      <w:r w:rsidRPr="00F10EFE">
        <w:rPr>
          <w:rFonts w:ascii="Verdana" w:hAnsi="Verdana"/>
          <w:sz w:val="22"/>
          <w:szCs w:val="22"/>
        </w:rPr>
        <w:t>Reforma</w:t>
      </w:r>
      <w:r w:rsidRPr="00F10EFE">
        <w:rPr>
          <w:rFonts w:ascii="Verdana" w:hAnsi="Verdana"/>
          <w:spacing w:val="-3"/>
          <w:sz w:val="22"/>
          <w:szCs w:val="22"/>
        </w:rPr>
        <w:t xml:space="preserve"> </w:t>
      </w:r>
      <w:r w:rsidRPr="00F10EFE">
        <w:rPr>
          <w:rFonts w:ascii="Verdana" w:hAnsi="Verdana"/>
          <w:sz w:val="22"/>
          <w:szCs w:val="22"/>
        </w:rPr>
        <w:t>Urbana</w:t>
      </w:r>
    </w:p>
    <w:p w14:paraId="6FEE6CA7" w14:textId="77777777" w:rsidR="003B3B38" w:rsidRPr="00F10EFE" w:rsidRDefault="003B3B38" w:rsidP="00C42376">
      <w:pPr>
        <w:pStyle w:val="Textoindependiente"/>
        <w:spacing w:after="0"/>
        <w:ind w:firstLine="426"/>
        <w:rPr>
          <w:rFonts w:ascii="Verdana" w:hAnsi="Verdana"/>
          <w:sz w:val="22"/>
          <w:szCs w:val="22"/>
        </w:rPr>
      </w:pPr>
      <w:r w:rsidRPr="00F10EFE">
        <w:rPr>
          <w:rFonts w:ascii="Verdana" w:hAnsi="Verdana"/>
          <w:b/>
          <w:sz w:val="22"/>
          <w:szCs w:val="22"/>
        </w:rPr>
        <w:t>MVCT:</w:t>
      </w:r>
      <w:r w:rsidRPr="00F10EFE">
        <w:rPr>
          <w:rFonts w:ascii="Verdana" w:hAnsi="Verdana"/>
          <w:b/>
          <w:spacing w:val="-3"/>
          <w:sz w:val="22"/>
          <w:szCs w:val="22"/>
        </w:rPr>
        <w:t xml:space="preserve"> </w:t>
      </w:r>
      <w:r w:rsidRPr="00F10EFE">
        <w:rPr>
          <w:rFonts w:ascii="Verdana" w:hAnsi="Verdana"/>
          <w:sz w:val="22"/>
          <w:szCs w:val="22"/>
        </w:rPr>
        <w:t>Ministerio</w:t>
      </w:r>
      <w:r w:rsidRPr="00F10EFE">
        <w:rPr>
          <w:rFonts w:ascii="Verdana" w:hAnsi="Verdana"/>
          <w:spacing w:val="-4"/>
          <w:sz w:val="22"/>
          <w:szCs w:val="22"/>
        </w:rPr>
        <w:t xml:space="preserve"> </w:t>
      </w:r>
      <w:r w:rsidRPr="00F10EFE">
        <w:rPr>
          <w:rFonts w:ascii="Verdana" w:hAnsi="Verdana"/>
          <w:sz w:val="22"/>
          <w:szCs w:val="22"/>
        </w:rPr>
        <w:t>de Vivienda,</w:t>
      </w:r>
      <w:r w:rsidRPr="00F10EFE">
        <w:rPr>
          <w:rFonts w:ascii="Verdana" w:hAnsi="Verdana"/>
          <w:spacing w:val="1"/>
          <w:sz w:val="22"/>
          <w:szCs w:val="22"/>
        </w:rPr>
        <w:t xml:space="preserve"> </w:t>
      </w:r>
      <w:r w:rsidRPr="00F10EFE">
        <w:rPr>
          <w:rFonts w:ascii="Verdana" w:hAnsi="Verdana"/>
          <w:sz w:val="22"/>
          <w:szCs w:val="22"/>
        </w:rPr>
        <w:t>Ciudad</w:t>
      </w:r>
      <w:r w:rsidRPr="00F10EFE">
        <w:rPr>
          <w:rFonts w:ascii="Verdana" w:hAnsi="Verdana"/>
          <w:spacing w:val="-1"/>
          <w:sz w:val="22"/>
          <w:szCs w:val="22"/>
        </w:rPr>
        <w:t xml:space="preserve"> </w:t>
      </w:r>
      <w:r w:rsidRPr="00F10EFE">
        <w:rPr>
          <w:rFonts w:ascii="Verdana" w:hAnsi="Verdana"/>
          <w:sz w:val="22"/>
          <w:szCs w:val="22"/>
        </w:rPr>
        <w:t>y</w:t>
      </w:r>
      <w:r w:rsidRPr="00F10EFE">
        <w:rPr>
          <w:rFonts w:ascii="Verdana" w:hAnsi="Verdana"/>
          <w:spacing w:val="-4"/>
          <w:sz w:val="22"/>
          <w:szCs w:val="22"/>
        </w:rPr>
        <w:t xml:space="preserve"> </w:t>
      </w:r>
      <w:r w:rsidRPr="00F10EFE">
        <w:rPr>
          <w:rFonts w:ascii="Verdana" w:hAnsi="Verdana"/>
          <w:sz w:val="22"/>
          <w:szCs w:val="22"/>
        </w:rPr>
        <w:t>Territorio</w:t>
      </w:r>
    </w:p>
    <w:p w14:paraId="28CB2A4C" w14:textId="77777777" w:rsidR="003B3B38" w:rsidRPr="00F10EFE" w:rsidRDefault="003B3B38" w:rsidP="00C42376">
      <w:pPr>
        <w:pStyle w:val="Textoindependiente"/>
        <w:spacing w:after="0"/>
        <w:ind w:firstLine="426"/>
        <w:rPr>
          <w:rFonts w:ascii="Verdana" w:hAnsi="Verdana"/>
          <w:sz w:val="22"/>
          <w:szCs w:val="22"/>
        </w:rPr>
      </w:pPr>
      <w:r w:rsidRPr="00F10EFE">
        <w:rPr>
          <w:rFonts w:ascii="Verdana" w:hAnsi="Verdana"/>
          <w:b/>
          <w:sz w:val="22"/>
          <w:szCs w:val="22"/>
        </w:rPr>
        <w:t>ORIP:</w:t>
      </w:r>
      <w:r w:rsidRPr="00F10EFE">
        <w:rPr>
          <w:rFonts w:ascii="Verdana" w:hAnsi="Verdana"/>
          <w:b/>
          <w:spacing w:val="-5"/>
          <w:sz w:val="22"/>
          <w:szCs w:val="22"/>
        </w:rPr>
        <w:t xml:space="preserve"> </w:t>
      </w:r>
      <w:r w:rsidRPr="00F10EFE">
        <w:rPr>
          <w:rFonts w:ascii="Verdana" w:hAnsi="Verdana"/>
          <w:sz w:val="22"/>
          <w:szCs w:val="22"/>
        </w:rPr>
        <w:t>Oficina</w:t>
      </w:r>
      <w:r w:rsidRPr="00F10EFE">
        <w:rPr>
          <w:rFonts w:ascii="Verdana" w:hAnsi="Verdana"/>
          <w:spacing w:val="-1"/>
          <w:sz w:val="22"/>
          <w:szCs w:val="22"/>
        </w:rPr>
        <w:t xml:space="preserve"> </w:t>
      </w:r>
      <w:r w:rsidRPr="00F10EFE">
        <w:rPr>
          <w:rFonts w:ascii="Verdana" w:hAnsi="Verdana"/>
          <w:sz w:val="22"/>
          <w:szCs w:val="22"/>
        </w:rPr>
        <w:t>de</w:t>
      </w:r>
      <w:r w:rsidRPr="00F10EFE">
        <w:rPr>
          <w:rFonts w:ascii="Verdana" w:hAnsi="Verdana"/>
          <w:spacing w:val="-3"/>
          <w:sz w:val="22"/>
          <w:szCs w:val="22"/>
        </w:rPr>
        <w:t xml:space="preserve"> </w:t>
      </w:r>
      <w:r w:rsidRPr="00F10EFE">
        <w:rPr>
          <w:rFonts w:ascii="Verdana" w:hAnsi="Verdana"/>
          <w:sz w:val="22"/>
          <w:szCs w:val="22"/>
        </w:rPr>
        <w:t>Registro</w:t>
      </w:r>
      <w:r w:rsidRPr="00F10EFE">
        <w:rPr>
          <w:rFonts w:ascii="Verdana" w:hAnsi="Verdana"/>
          <w:spacing w:val="-1"/>
          <w:sz w:val="22"/>
          <w:szCs w:val="22"/>
        </w:rPr>
        <w:t xml:space="preserve"> </w:t>
      </w:r>
      <w:r w:rsidRPr="00F10EFE">
        <w:rPr>
          <w:rFonts w:ascii="Verdana" w:hAnsi="Verdana"/>
          <w:sz w:val="22"/>
          <w:szCs w:val="22"/>
        </w:rPr>
        <w:t>de</w:t>
      </w:r>
      <w:r w:rsidRPr="00F10EFE">
        <w:rPr>
          <w:rFonts w:ascii="Verdana" w:hAnsi="Verdana"/>
          <w:spacing w:val="-3"/>
          <w:sz w:val="22"/>
          <w:szCs w:val="22"/>
        </w:rPr>
        <w:t xml:space="preserve"> </w:t>
      </w:r>
      <w:r w:rsidRPr="00F10EFE">
        <w:rPr>
          <w:rFonts w:ascii="Verdana" w:hAnsi="Verdana"/>
          <w:sz w:val="22"/>
          <w:szCs w:val="22"/>
        </w:rPr>
        <w:t>Instrumentos</w:t>
      </w:r>
      <w:r w:rsidRPr="00F10EFE">
        <w:rPr>
          <w:rFonts w:ascii="Verdana" w:hAnsi="Verdana"/>
          <w:spacing w:val="-3"/>
          <w:sz w:val="22"/>
          <w:szCs w:val="22"/>
        </w:rPr>
        <w:t xml:space="preserve"> </w:t>
      </w:r>
      <w:r w:rsidRPr="00F10EFE">
        <w:rPr>
          <w:rFonts w:ascii="Verdana" w:hAnsi="Verdana"/>
          <w:sz w:val="22"/>
          <w:szCs w:val="22"/>
        </w:rPr>
        <w:t>Públicos</w:t>
      </w:r>
    </w:p>
    <w:p w14:paraId="1522612E" w14:textId="77777777" w:rsidR="003B3B38" w:rsidRPr="00F10EFE" w:rsidRDefault="003B3B38" w:rsidP="00C42376">
      <w:pPr>
        <w:pStyle w:val="Textoindependiente"/>
        <w:spacing w:after="0"/>
        <w:ind w:firstLine="426"/>
        <w:rPr>
          <w:rFonts w:ascii="Verdana" w:hAnsi="Verdana"/>
          <w:sz w:val="22"/>
          <w:szCs w:val="22"/>
        </w:rPr>
      </w:pPr>
      <w:r w:rsidRPr="00F10EFE">
        <w:rPr>
          <w:rFonts w:ascii="Verdana" w:hAnsi="Verdana"/>
          <w:b/>
          <w:sz w:val="22"/>
          <w:szCs w:val="22"/>
        </w:rPr>
        <w:t>CPACA:</w:t>
      </w:r>
      <w:r w:rsidRPr="00F10EFE">
        <w:rPr>
          <w:rFonts w:ascii="Verdana" w:hAnsi="Verdana"/>
          <w:b/>
          <w:spacing w:val="1"/>
          <w:sz w:val="22"/>
          <w:szCs w:val="22"/>
        </w:rPr>
        <w:t xml:space="preserve"> </w:t>
      </w:r>
      <w:r w:rsidRPr="00F10EFE">
        <w:rPr>
          <w:rFonts w:ascii="Verdana" w:hAnsi="Verdana"/>
          <w:sz w:val="22"/>
          <w:szCs w:val="22"/>
        </w:rPr>
        <w:t>Código</w:t>
      </w:r>
      <w:r w:rsidRPr="00F10EFE">
        <w:rPr>
          <w:rFonts w:ascii="Verdana" w:hAnsi="Verdana"/>
          <w:spacing w:val="-1"/>
          <w:sz w:val="22"/>
          <w:szCs w:val="22"/>
        </w:rPr>
        <w:t xml:space="preserve"> </w:t>
      </w:r>
      <w:r w:rsidRPr="00F10EFE">
        <w:rPr>
          <w:rFonts w:ascii="Verdana" w:hAnsi="Verdana"/>
          <w:sz w:val="22"/>
          <w:szCs w:val="22"/>
        </w:rPr>
        <w:t>de</w:t>
      </w:r>
      <w:r w:rsidRPr="00F10EFE">
        <w:rPr>
          <w:rFonts w:ascii="Verdana" w:hAnsi="Verdana"/>
          <w:spacing w:val="-3"/>
          <w:sz w:val="22"/>
          <w:szCs w:val="22"/>
        </w:rPr>
        <w:t xml:space="preserve"> </w:t>
      </w:r>
      <w:r w:rsidRPr="00F10EFE">
        <w:rPr>
          <w:rFonts w:ascii="Verdana" w:hAnsi="Verdana"/>
          <w:sz w:val="22"/>
          <w:szCs w:val="22"/>
        </w:rPr>
        <w:t>proceso</w:t>
      </w:r>
      <w:r w:rsidRPr="00F10EFE">
        <w:rPr>
          <w:rFonts w:ascii="Verdana" w:hAnsi="Verdana"/>
          <w:spacing w:val="-1"/>
          <w:sz w:val="22"/>
          <w:szCs w:val="22"/>
        </w:rPr>
        <w:t xml:space="preserve"> </w:t>
      </w:r>
      <w:r w:rsidRPr="00F10EFE">
        <w:rPr>
          <w:rFonts w:ascii="Verdana" w:hAnsi="Verdana"/>
          <w:sz w:val="22"/>
          <w:szCs w:val="22"/>
        </w:rPr>
        <w:t>administrativo</w:t>
      </w:r>
      <w:r w:rsidRPr="00F10EFE">
        <w:rPr>
          <w:rFonts w:ascii="Verdana" w:hAnsi="Verdana"/>
          <w:spacing w:val="-3"/>
          <w:sz w:val="22"/>
          <w:szCs w:val="22"/>
        </w:rPr>
        <w:t xml:space="preserve"> </w:t>
      </w:r>
      <w:r w:rsidRPr="00F10EFE">
        <w:rPr>
          <w:rFonts w:ascii="Verdana" w:hAnsi="Verdana"/>
          <w:sz w:val="22"/>
          <w:szCs w:val="22"/>
        </w:rPr>
        <w:t>y de</w:t>
      </w:r>
      <w:r w:rsidRPr="00F10EFE">
        <w:rPr>
          <w:rFonts w:ascii="Verdana" w:hAnsi="Verdana"/>
          <w:spacing w:val="-3"/>
          <w:sz w:val="22"/>
          <w:szCs w:val="22"/>
        </w:rPr>
        <w:t xml:space="preserve"> </w:t>
      </w:r>
      <w:r w:rsidRPr="00F10EFE">
        <w:rPr>
          <w:rFonts w:ascii="Verdana" w:hAnsi="Verdana"/>
          <w:sz w:val="22"/>
          <w:szCs w:val="22"/>
        </w:rPr>
        <w:t>lo</w:t>
      </w:r>
      <w:r w:rsidRPr="00F10EFE">
        <w:rPr>
          <w:rFonts w:ascii="Verdana" w:hAnsi="Verdana"/>
          <w:spacing w:val="-1"/>
          <w:sz w:val="22"/>
          <w:szCs w:val="22"/>
        </w:rPr>
        <w:t xml:space="preserve"> </w:t>
      </w:r>
      <w:r w:rsidRPr="00F10EFE">
        <w:rPr>
          <w:rFonts w:ascii="Verdana" w:hAnsi="Verdana"/>
          <w:sz w:val="22"/>
          <w:szCs w:val="22"/>
        </w:rPr>
        <w:t>contencioso</w:t>
      </w:r>
    </w:p>
    <w:p w14:paraId="62F6E4B2" w14:textId="77777777" w:rsidR="003B3B38" w:rsidRPr="00F10EFE" w:rsidRDefault="003B3B38" w:rsidP="00C42376">
      <w:pPr>
        <w:pStyle w:val="Textoindependiente"/>
        <w:spacing w:after="0"/>
        <w:ind w:firstLine="426"/>
        <w:rPr>
          <w:rFonts w:ascii="Verdana" w:hAnsi="Verdana"/>
          <w:sz w:val="22"/>
          <w:szCs w:val="22"/>
        </w:rPr>
      </w:pPr>
      <w:r w:rsidRPr="00F10EFE">
        <w:rPr>
          <w:rFonts w:ascii="Verdana" w:hAnsi="Verdana"/>
          <w:b/>
          <w:sz w:val="22"/>
          <w:szCs w:val="22"/>
        </w:rPr>
        <w:t>GTSP:</w:t>
      </w:r>
      <w:r w:rsidRPr="00F10EFE">
        <w:rPr>
          <w:rFonts w:ascii="Verdana" w:hAnsi="Verdana"/>
          <w:b/>
          <w:spacing w:val="-3"/>
          <w:sz w:val="22"/>
          <w:szCs w:val="22"/>
        </w:rPr>
        <w:t xml:space="preserve"> </w:t>
      </w:r>
      <w:r w:rsidRPr="00F10EFE">
        <w:rPr>
          <w:rFonts w:ascii="Verdana" w:hAnsi="Verdana"/>
          <w:sz w:val="22"/>
          <w:szCs w:val="22"/>
        </w:rPr>
        <w:t>Grupo</w:t>
      </w:r>
      <w:r w:rsidRPr="00F10EFE">
        <w:rPr>
          <w:rFonts w:ascii="Verdana" w:hAnsi="Verdana"/>
          <w:spacing w:val="-2"/>
          <w:sz w:val="22"/>
          <w:szCs w:val="22"/>
        </w:rPr>
        <w:t xml:space="preserve"> </w:t>
      </w:r>
      <w:r w:rsidRPr="00F10EFE">
        <w:rPr>
          <w:rFonts w:ascii="Verdana" w:hAnsi="Verdana"/>
          <w:sz w:val="22"/>
          <w:szCs w:val="22"/>
        </w:rPr>
        <w:t>de</w:t>
      </w:r>
      <w:r w:rsidRPr="00F10EFE">
        <w:rPr>
          <w:rFonts w:ascii="Verdana" w:hAnsi="Verdana"/>
          <w:spacing w:val="-3"/>
          <w:sz w:val="22"/>
          <w:szCs w:val="22"/>
        </w:rPr>
        <w:t xml:space="preserve"> </w:t>
      </w:r>
      <w:r w:rsidRPr="00F10EFE">
        <w:rPr>
          <w:rFonts w:ascii="Verdana" w:hAnsi="Verdana"/>
          <w:sz w:val="22"/>
          <w:szCs w:val="22"/>
        </w:rPr>
        <w:t>titulación</w:t>
      </w:r>
      <w:r w:rsidRPr="00F10EFE">
        <w:rPr>
          <w:rFonts w:ascii="Verdana" w:hAnsi="Verdana"/>
          <w:spacing w:val="-2"/>
          <w:sz w:val="22"/>
          <w:szCs w:val="22"/>
        </w:rPr>
        <w:t xml:space="preserve"> </w:t>
      </w:r>
      <w:r w:rsidRPr="00F10EFE">
        <w:rPr>
          <w:rFonts w:ascii="Verdana" w:hAnsi="Verdana"/>
          <w:sz w:val="22"/>
          <w:szCs w:val="22"/>
        </w:rPr>
        <w:t>y</w:t>
      </w:r>
      <w:r w:rsidRPr="00F10EFE">
        <w:rPr>
          <w:rFonts w:ascii="Verdana" w:hAnsi="Verdana"/>
          <w:spacing w:val="-1"/>
          <w:sz w:val="22"/>
          <w:szCs w:val="22"/>
        </w:rPr>
        <w:t xml:space="preserve"> </w:t>
      </w:r>
      <w:r w:rsidRPr="00F10EFE">
        <w:rPr>
          <w:rFonts w:ascii="Verdana" w:hAnsi="Verdana"/>
          <w:sz w:val="22"/>
          <w:szCs w:val="22"/>
        </w:rPr>
        <w:t>saneamiento</w:t>
      </w:r>
      <w:r w:rsidRPr="00F10EFE">
        <w:rPr>
          <w:rFonts w:ascii="Verdana" w:hAnsi="Verdana"/>
          <w:spacing w:val="-3"/>
          <w:sz w:val="22"/>
          <w:szCs w:val="22"/>
        </w:rPr>
        <w:t xml:space="preserve"> </w:t>
      </w:r>
      <w:r w:rsidRPr="00F10EFE">
        <w:rPr>
          <w:rFonts w:ascii="Verdana" w:hAnsi="Verdana"/>
          <w:sz w:val="22"/>
          <w:szCs w:val="22"/>
        </w:rPr>
        <w:t>predial</w:t>
      </w:r>
    </w:p>
    <w:p w14:paraId="34B06957" w14:textId="77777777" w:rsidR="003B3B38" w:rsidRPr="00F10EFE" w:rsidRDefault="003B3B38" w:rsidP="00C42376">
      <w:pPr>
        <w:pStyle w:val="Textoindependiente"/>
        <w:spacing w:after="0"/>
        <w:ind w:firstLine="426"/>
        <w:rPr>
          <w:rFonts w:ascii="Verdana" w:hAnsi="Verdana"/>
          <w:sz w:val="22"/>
          <w:szCs w:val="22"/>
        </w:rPr>
      </w:pPr>
      <w:r w:rsidRPr="00F10EFE">
        <w:rPr>
          <w:rFonts w:ascii="Verdana" w:hAnsi="Verdana"/>
          <w:b/>
          <w:sz w:val="22"/>
          <w:szCs w:val="22"/>
        </w:rPr>
        <w:t xml:space="preserve">CGTSP: </w:t>
      </w:r>
      <w:r w:rsidRPr="00F10EFE">
        <w:rPr>
          <w:rFonts w:ascii="Verdana" w:hAnsi="Verdana"/>
          <w:sz w:val="22"/>
          <w:szCs w:val="22"/>
        </w:rPr>
        <w:t>Coordinador</w:t>
      </w:r>
      <w:r w:rsidRPr="00F10EFE">
        <w:rPr>
          <w:rFonts w:ascii="Verdana" w:hAnsi="Verdana"/>
          <w:spacing w:val="-1"/>
          <w:sz w:val="22"/>
          <w:szCs w:val="22"/>
        </w:rPr>
        <w:t xml:space="preserve"> </w:t>
      </w:r>
      <w:r w:rsidRPr="00F10EFE">
        <w:rPr>
          <w:rFonts w:ascii="Verdana" w:hAnsi="Verdana"/>
          <w:sz w:val="22"/>
          <w:szCs w:val="22"/>
        </w:rPr>
        <w:t>del</w:t>
      </w:r>
      <w:r w:rsidRPr="00F10EFE">
        <w:rPr>
          <w:rFonts w:ascii="Verdana" w:hAnsi="Verdana"/>
          <w:spacing w:val="-2"/>
          <w:sz w:val="22"/>
          <w:szCs w:val="22"/>
        </w:rPr>
        <w:t xml:space="preserve"> </w:t>
      </w:r>
      <w:r w:rsidRPr="00F10EFE">
        <w:rPr>
          <w:rFonts w:ascii="Verdana" w:hAnsi="Verdana"/>
          <w:sz w:val="22"/>
          <w:szCs w:val="22"/>
        </w:rPr>
        <w:t>grupo</w:t>
      </w:r>
      <w:r w:rsidRPr="00F10EFE">
        <w:rPr>
          <w:rFonts w:ascii="Verdana" w:hAnsi="Verdana"/>
          <w:spacing w:val="-2"/>
          <w:sz w:val="22"/>
          <w:szCs w:val="22"/>
        </w:rPr>
        <w:t xml:space="preserve"> </w:t>
      </w:r>
      <w:r w:rsidRPr="00F10EFE">
        <w:rPr>
          <w:rFonts w:ascii="Verdana" w:hAnsi="Verdana"/>
          <w:sz w:val="22"/>
          <w:szCs w:val="22"/>
        </w:rPr>
        <w:t>de</w:t>
      </w:r>
      <w:r w:rsidRPr="00F10EFE">
        <w:rPr>
          <w:rFonts w:ascii="Verdana" w:hAnsi="Verdana"/>
          <w:spacing w:val="-3"/>
          <w:sz w:val="22"/>
          <w:szCs w:val="22"/>
        </w:rPr>
        <w:t xml:space="preserve"> </w:t>
      </w:r>
      <w:r w:rsidRPr="00F10EFE">
        <w:rPr>
          <w:rFonts w:ascii="Verdana" w:hAnsi="Verdana"/>
          <w:sz w:val="22"/>
          <w:szCs w:val="22"/>
        </w:rPr>
        <w:t>titulación</w:t>
      </w:r>
      <w:r w:rsidRPr="00F10EFE">
        <w:rPr>
          <w:rFonts w:ascii="Verdana" w:hAnsi="Verdana"/>
          <w:spacing w:val="-4"/>
          <w:sz w:val="22"/>
          <w:szCs w:val="22"/>
        </w:rPr>
        <w:t xml:space="preserve"> </w:t>
      </w:r>
      <w:r w:rsidRPr="00F10EFE">
        <w:rPr>
          <w:rFonts w:ascii="Verdana" w:hAnsi="Verdana"/>
          <w:sz w:val="22"/>
          <w:szCs w:val="22"/>
        </w:rPr>
        <w:t>y</w:t>
      </w:r>
      <w:r w:rsidRPr="00F10EFE">
        <w:rPr>
          <w:rFonts w:ascii="Verdana" w:hAnsi="Verdana"/>
          <w:spacing w:val="-1"/>
          <w:sz w:val="22"/>
          <w:szCs w:val="22"/>
        </w:rPr>
        <w:t xml:space="preserve"> </w:t>
      </w:r>
      <w:r w:rsidRPr="00F10EFE">
        <w:rPr>
          <w:rFonts w:ascii="Verdana" w:hAnsi="Verdana"/>
          <w:sz w:val="22"/>
          <w:szCs w:val="22"/>
        </w:rPr>
        <w:t>saneamiento</w:t>
      </w:r>
      <w:r w:rsidRPr="00F10EFE">
        <w:rPr>
          <w:rFonts w:ascii="Verdana" w:hAnsi="Verdana"/>
          <w:spacing w:val="-1"/>
          <w:sz w:val="22"/>
          <w:szCs w:val="22"/>
        </w:rPr>
        <w:t xml:space="preserve"> </w:t>
      </w:r>
      <w:r w:rsidRPr="00F10EFE">
        <w:rPr>
          <w:rFonts w:ascii="Verdana" w:hAnsi="Verdana"/>
          <w:sz w:val="22"/>
          <w:szCs w:val="22"/>
        </w:rPr>
        <w:t>predial</w:t>
      </w:r>
    </w:p>
    <w:p w14:paraId="6515FA90" w14:textId="77777777" w:rsidR="008A24F7" w:rsidRPr="00DB4B91" w:rsidRDefault="008A24F7" w:rsidP="00DB4B91">
      <w:pPr>
        <w:rPr>
          <w:rFonts w:ascii="Verdana" w:hAnsi="Verdana" w:cs="Arial"/>
          <w:b/>
          <w:sz w:val="22"/>
          <w:szCs w:val="22"/>
        </w:rPr>
      </w:pPr>
    </w:p>
    <w:p w14:paraId="1AA343EB" w14:textId="0A8875DE" w:rsidR="009B0751" w:rsidRPr="00F10EFE" w:rsidRDefault="009B0751" w:rsidP="00B863F1">
      <w:pPr>
        <w:pStyle w:val="Prrafodelista"/>
        <w:numPr>
          <w:ilvl w:val="0"/>
          <w:numId w:val="2"/>
        </w:numPr>
        <w:ind w:left="426" w:hanging="426"/>
        <w:rPr>
          <w:rFonts w:ascii="Verdana" w:hAnsi="Verdana" w:cs="Arial"/>
          <w:b/>
          <w:sz w:val="22"/>
          <w:szCs w:val="22"/>
        </w:rPr>
      </w:pPr>
      <w:r w:rsidRPr="00F10EFE">
        <w:rPr>
          <w:rFonts w:ascii="Verdana" w:hAnsi="Verdana" w:cs="Arial"/>
          <w:b/>
          <w:sz w:val="22"/>
          <w:szCs w:val="22"/>
        </w:rPr>
        <w:t>CONTENIDO</w:t>
      </w:r>
    </w:p>
    <w:p w14:paraId="398ADC49" w14:textId="77777777" w:rsidR="003B3B38" w:rsidRPr="00F10EFE" w:rsidRDefault="003B3B38" w:rsidP="00F10EFE">
      <w:pPr>
        <w:rPr>
          <w:rFonts w:ascii="Verdana" w:hAnsi="Verdana" w:cs="Arial"/>
          <w:b/>
          <w:sz w:val="22"/>
          <w:szCs w:val="22"/>
          <w:lang w:val="es-ES"/>
        </w:rPr>
      </w:pPr>
    </w:p>
    <w:p w14:paraId="0BE9DBB0" w14:textId="56C79AF9" w:rsidR="003B3B38" w:rsidRPr="00F10EFE" w:rsidRDefault="003B3B38" w:rsidP="00F10EFE">
      <w:pPr>
        <w:pStyle w:val="Ttulo1"/>
        <w:numPr>
          <w:ilvl w:val="0"/>
          <w:numId w:val="0"/>
        </w:numPr>
        <w:spacing w:line="240" w:lineRule="auto"/>
        <w:ind w:left="435" w:hanging="435"/>
        <w:rPr>
          <w:rFonts w:ascii="Verdana" w:hAnsi="Verdana"/>
          <w:sz w:val="22"/>
          <w:szCs w:val="22"/>
        </w:rPr>
      </w:pPr>
      <w:r w:rsidRPr="00F10EFE">
        <w:rPr>
          <w:rFonts w:ascii="Verdana" w:hAnsi="Verdana"/>
          <w:sz w:val="22"/>
          <w:szCs w:val="22"/>
        </w:rPr>
        <w:t>VERIFICACIÓN</w:t>
      </w:r>
      <w:r w:rsidRPr="00F10EFE">
        <w:rPr>
          <w:rFonts w:ascii="Verdana" w:hAnsi="Verdana"/>
          <w:spacing w:val="-5"/>
          <w:sz w:val="22"/>
          <w:szCs w:val="22"/>
        </w:rPr>
        <w:t xml:space="preserve"> </w:t>
      </w:r>
      <w:r w:rsidRPr="00F10EFE">
        <w:rPr>
          <w:rFonts w:ascii="Verdana" w:hAnsi="Verdana"/>
          <w:sz w:val="22"/>
          <w:szCs w:val="22"/>
        </w:rPr>
        <w:t>PREVIA</w:t>
      </w:r>
    </w:p>
    <w:p w14:paraId="259D9FDE" w14:textId="77777777" w:rsidR="003B3B38" w:rsidRPr="00F10EFE" w:rsidRDefault="003B3B38" w:rsidP="00F10EFE">
      <w:pPr>
        <w:pStyle w:val="Textoindependiente"/>
        <w:spacing w:after="0"/>
        <w:rPr>
          <w:rFonts w:ascii="Verdana" w:hAnsi="Verdana"/>
          <w:b/>
          <w:sz w:val="22"/>
          <w:szCs w:val="22"/>
        </w:rPr>
      </w:pPr>
    </w:p>
    <w:p w14:paraId="38E7F0A5" w14:textId="77777777" w:rsidR="008B3199" w:rsidRPr="00F10EFE" w:rsidRDefault="008B3199" w:rsidP="00DB4B91">
      <w:pPr>
        <w:numPr>
          <w:ilvl w:val="0"/>
          <w:numId w:val="7"/>
        </w:numPr>
        <w:tabs>
          <w:tab w:val="left" w:pos="426"/>
        </w:tabs>
        <w:ind w:left="284" w:hanging="284"/>
        <w:rPr>
          <w:rFonts w:ascii="Verdana" w:hAnsi="Verdana"/>
          <w:sz w:val="22"/>
          <w:szCs w:val="22"/>
        </w:rPr>
      </w:pPr>
      <w:r w:rsidRPr="00F10EFE">
        <w:rPr>
          <w:rFonts w:ascii="Verdana" w:hAnsi="Verdana"/>
          <w:sz w:val="22"/>
          <w:szCs w:val="22"/>
        </w:rPr>
        <w:t xml:space="preserve">Revisar el resultado del formato GPV-F-23 “ESTUDIO PRELIMINAR”. Las condiciones a cumplir para la aplicabilidad del artículo 2 de la Ley 1001 de 2005 son: </w:t>
      </w:r>
    </w:p>
    <w:p w14:paraId="3507B791" w14:textId="77777777" w:rsidR="008B3199" w:rsidRPr="00F10EFE" w:rsidRDefault="008B3199" w:rsidP="00F10EFE">
      <w:pPr>
        <w:rPr>
          <w:rFonts w:ascii="Verdana" w:hAnsi="Verdana"/>
          <w:sz w:val="22"/>
          <w:szCs w:val="22"/>
        </w:rPr>
      </w:pPr>
    </w:p>
    <w:p w14:paraId="041A166A" w14:textId="77777777" w:rsidR="008B3199" w:rsidRPr="00F10EFE" w:rsidRDefault="008B3199" w:rsidP="00B863F1">
      <w:pPr>
        <w:numPr>
          <w:ilvl w:val="1"/>
          <w:numId w:val="8"/>
        </w:numPr>
        <w:ind w:left="851" w:hanging="425"/>
        <w:rPr>
          <w:rFonts w:ascii="Verdana" w:hAnsi="Verdana"/>
          <w:sz w:val="22"/>
          <w:szCs w:val="22"/>
        </w:rPr>
      </w:pPr>
      <w:r w:rsidRPr="00F10EFE">
        <w:rPr>
          <w:rFonts w:ascii="Verdana" w:hAnsi="Verdana"/>
          <w:sz w:val="22"/>
          <w:szCs w:val="22"/>
        </w:rPr>
        <w:t>El inmueble objeto de solicitud debe ubicarse dentro del perímetro urbano del municipio o distrito, en un predio de propiedad del I.C.T – INURBE.</w:t>
      </w:r>
    </w:p>
    <w:p w14:paraId="77DA80B9" w14:textId="77777777" w:rsidR="008B3199" w:rsidRPr="00F10EFE" w:rsidRDefault="008B3199" w:rsidP="00B863F1">
      <w:pPr>
        <w:numPr>
          <w:ilvl w:val="1"/>
          <w:numId w:val="8"/>
        </w:numPr>
        <w:ind w:left="851" w:hanging="425"/>
        <w:rPr>
          <w:rFonts w:ascii="Verdana" w:hAnsi="Verdana"/>
          <w:sz w:val="22"/>
          <w:szCs w:val="22"/>
        </w:rPr>
      </w:pPr>
      <w:r w:rsidRPr="00F10EFE">
        <w:rPr>
          <w:rFonts w:ascii="Verdana" w:hAnsi="Verdana"/>
          <w:sz w:val="22"/>
          <w:szCs w:val="22"/>
        </w:rPr>
        <w:t xml:space="preserve">En el inmueble objeto de solicitud debe existir una </w:t>
      </w:r>
      <w:r w:rsidRPr="00F10EFE">
        <w:rPr>
          <w:rFonts w:ascii="Verdana" w:hAnsi="Verdana"/>
          <w:i/>
          <w:sz w:val="22"/>
          <w:szCs w:val="22"/>
        </w:rPr>
        <w:t>mejora por construcciones</w:t>
      </w:r>
      <w:r w:rsidRPr="00F10EFE">
        <w:rPr>
          <w:rFonts w:ascii="Verdana" w:hAnsi="Verdana"/>
          <w:sz w:val="22"/>
          <w:szCs w:val="22"/>
        </w:rPr>
        <w:t>, es decir, la edificación no debió ser construida o financiada por el I.C.T – INURBE.</w:t>
      </w:r>
    </w:p>
    <w:p w14:paraId="14893D75" w14:textId="77777777" w:rsidR="008B3199" w:rsidRPr="00F10EFE" w:rsidRDefault="008B3199" w:rsidP="00B863F1">
      <w:pPr>
        <w:numPr>
          <w:ilvl w:val="1"/>
          <w:numId w:val="8"/>
        </w:numPr>
        <w:ind w:left="851" w:hanging="425"/>
        <w:rPr>
          <w:rFonts w:ascii="Verdana" w:hAnsi="Verdana"/>
          <w:sz w:val="22"/>
          <w:szCs w:val="22"/>
        </w:rPr>
      </w:pPr>
      <w:r w:rsidRPr="00F10EFE">
        <w:rPr>
          <w:rFonts w:ascii="Verdana" w:hAnsi="Verdana"/>
          <w:sz w:val="22"/>
          <w:szCs w:val="22"/>
        </w:rPr>
        <w:t>El destino económico y uso del suelo del inmueble debe ser habitacional.</w:t>
      </w:r>
    </w:p>
    <w:p w14:paraId="2787F0BF" w14:textId="1D158D86" w:rsidR="00C42376" w:rsidRPr="00DB4B91" w:rsidRDefault="008B3199" w:rsidP="00C42376">
      <w:pPr>
        <w:numPr>
          <w:ilvl w:val="1"/>
          <w:numId w:val="8"/>
        </w:numPr>
        <w:ind w:left="851" w:hanging="425"/>
        <w:rPr>
          <w:rFonts w:ascii="Verdana" w:hAnsi="Verdana"/>
          <w:sz w:val="22"/>
          <w:szCs w:val="22"/>
        </w:rPr>
      </w:pPr>
      <w:r w:rsidRPr="00F10EFE">
        <w:rPr>
          <w:rFonts w:ascii="Verdana" w:hAnsi="Verdana"/>
          <w:sz w:val="22"/>
          <w:szCs w:val="22"/>
        </w:rPr>
        <w:t>El inmueble objeto de solicitud, no debe estar enmarcada en los planos urbanísticos del predio de I.C.T – INURBE, en zonas destinadas para el uso público, zonas destinadas para la construcción de elementos institucionales o de salud, protección, zonas de riesgo o zonas de amenaza.</w:t>
      </w:r>
    </w:p>
    <w:p w14:paraId="6261762C" w14:textId="77777777" w:rsidR="00DB4B91" w:rsidRDefault="00DB4B91" w:rsidP="00C42376">
      <w:pPr>
        <w:rPr>
          <w:rFonts w:ascii="Verdana" w:hAnsi="Verdana"/>
          <w:sz w:val="22"/>
          <w:szCs w:val="22"/>
        </w:rPr>
      </w:pPr>
    </w:p>
    <w:p w14:paraId="4F9FB77E" w14:textId="014C2CDB" w:rsidR="008B3199" w:rsidRDefault="008B3199" w:rsidP="00C42376">
      <w:pPr>
        <w:rPr>
          <w:rFonts w:ascii="Verdana" w:hAnsi="Verdana"/>
          <w:sz w:val="22"/>
          <w:szCs w:val="22"/>
        </w:rPr>
      </w:pPr>
      <w:r w:rsidRPr="00F10EFE">
        <w:rPr>
          <w:rFonts w:ascii="Verdana" w:hAnsi="Verdana"/>
          <w:sz w:val="22"/>
          <w:szCs w:val="22"/>
        </w:rPr>
        <w:t xml:space="preserve">En caso de no cumplirse alguna de las anteriores condiciones, el formato GPV-F-23  “ESTUDIO PRELIMINAR” será ajustado y se aplicará el procedimiento conforme lo establecido en la Ley 1001 de 2005. </w:t>
      </w:r>
    </w:p>
    <w:p w14:paraId="16D64415" w14:textId="77777777" w:rsidR="00C42376" w:rsidRPr="00F10EFE" w:rsidRDefault="00C42376" w:rsidP="00C42376">
      <w:pPr>
        <w:ind w:left="426"/>
        <w:rPr>
          <w:rFonts w:ascii="Verdana" w:hAnsi="Verdana"/>
          <w:sz w:val="22"/>
          <w:szCs w:val="22"/>
        </w:rPr>
      </w:pPr>
    </w:p>
    <w:p w14:paraId="3D4F2A8D" w14:textId="77777777" w:rsidR="008B3199" w:rsidRPr="00F10EFE" w:rsidRDefault="008B3199" w:rsidP="00DB4B91">
      <w:pPr>
        <w:numPr>
          <w:ilvl w:val="0"/>
          <w:numId w:val="7"/>
        </w:numPr>
        <w:ind w:left="284" w:hanging="284"/>
        <w:rPr>
          <w:rFonts w:ascii="Verdana" w:hAnsi="Verdana"/>
          <w:sz w:val="22"/>
          <w:szCs w:val="22"/>
        </w:rPr>
      </w:pPr>
      <w:r w:rsidRPr="00F10EFE">
        <w:rPr>
          <w:rFonts w:ascii="Verdana" w:hAnsi="Verdana"/>
          <w:sz w:val="22"/>
          <w:szCs w:val="22"/>
        </w:rPr>
        <w:lastRenderedPageBreak/>
        <w:t>Hacer una revisión preliminar de la documentación contenida en la carpeta del expediente de la solicitud, con el objetivo de asegurar que cuente con toda la documentación necesaria para la elaboración del Estudio de Viabilidad Técnica.</w:t>
      </w:r>
    </w:p>
    <w:p w14:paraId="21202B88" w14:textId="77777777" w:rsidR="008B3199" w:rsidRPr="00F10EFE" w:rsidRDefault="008B3199" w:rsidP="00C42376">
      <w:pPr>
        <w:ind w:left="851" w:hanging="425"/>
        <w:rPr>
          <w:rFonts w:ascii="Verdana" w:hAnsi="Verdana"/>
          <w:b/>
          <w:sz w:val="22"/>
          <w:szCs w:val="22"/>
        </w:rPr>
      </w:pPr>
    </w:p>
    <w:p w14:paraId="40CFFF05" w14:textId="77777777" w:rsidR="00C42376" w:rsidRDefault="008B3199" w:rsidP="00B863F1">
      <w:pPr>
        <w:numPr>
          <w:ilvl w:val="0"/>
          <w:numId w:val="9"/>
        </w:numPr>
        <w:ind w:left="851" w:hanging="425"/>
        <w:rPr>
          <w:rFonts w:ascii="Verdana" w:hAnsi="Verdana"/>
          <w:sz w:val="22"/>
          <w:szCs w:val="22"/>
        </w:rPr>
      </w:pPr>
      <w:r w:rsidRPr="00F10EFE">
        <w:rPr>
          <w:rFonts w:ascii="Verdana" w:hAnsi="Verdana"/>
          <w:sz w:val="22"/>
          <w:szCs w:val="22"/>
        </w:rPr>
        <w:t>Si con la documentación existente no es posible realizar el estudio de viabilidad técnica, se oficiará al o los solicitantes, para que alleguen los documentos faltantes o de ser posible será el Ministerio quien haga la solicitud directamente a la entidad competente, (Ej. Certificado Plano Predial Catastral, Certificado de uso del suelo o riesgo, entre otros).</w:t>
      </w:r>
    </w:p>
    <w:p w14:paraId="3BF19D77" w14:textId="7DF1D046" w:rsidR="008B3199" w:rsidRPr="00C42376" w:rsidRDefault="008B3199" w:rsidP="00B863F1">
      <w:pPr>
        <w:numPr>
          <w:ilvl w:val="0"/>
          <w:numId w:val="9"/>
        </w:numPr>
        <w:ind w:left="851" w:hanging="425"/>
        <w:rPr>
          <w:rFonts w:ascii="Verdana" w:hAnsi="Verdana"/>
          <w:sz w:val="22"/>
          <w:szCs w:val="22"/>
        </w:rPr>
      </w:pPr>
      <w:r w:rsidRPr="00C42376">
        <w:rPr>
          <w:rFonts w:ascii="Verdana" w:hAnsi="Verdana"/>
          <w:sz w:val="22"/>
          <w:szCs w:val="22"/>
        </w:rPr>
        <w:t xml:space="preserve">En lo particular para la validación de la calidad de la Vivienda de interés social -VIS: Dado que el avalúo comercial implica un alto costo para el solicitante, este será requerido cuando se cumplen los demás requisitos para la cesión a título gratuito. </w:t>
      </w:r>
    </w:p>
    <w:p w14:paraId="3F32BC6A" w14:textId="77777777" w:rsidR="008B3199" w:rsidRPr="00F10EFE" w:rsidRDefault="008B3199" w:rsidP="00F10EFE">
      <w:pPr>
        <w:rPr>
          <w:rFonts w:ascii="Verdana" w:hAnsi="Verdana"/>
          <w:sz w:val="22"/>
          <w:szCs w:val="22"/>
        </w:rPr>
      </w:pPr>
    </w:p>
    <w:p w14:paraId="187314B6" w14:textId="77777777" w:rsidR="008B3199" w:rsidRPr="00F10EFE" w:rsidRDefault="008B3199" w:rsidP="00F10EFE">
      <w:pPr>
        <w:rPr>
          <w:rFonts w:ascii="Verdana" w:hAnsi="Verdana"/>
          <w:sz w:val="22"/>
          <w:szCs w:val="22"/>
        </w:rPr>
      </w:pPr>
      <w:r w:rsidRPr="00F10EFE">
        <w:rPr>
          <w:rFonts w:ascii="Verdana" w:hAnsi="Verdana"/>
          <w:sz w:val="22"/>
          <w:szCs w:val="22"/>
        </w:rPr>
        <w:t xml:space="preserve">Para la elaboración del estudio de viabilidad técnica del artículo 2 de la Ley 1001 de 2015, se usa el formato GPV-F-28 Estudio Viabilidad Técnica Articulo 2, el cual, está dividido por secciones. </w:t>
      </w:r>
    </w:p>
    <w:p w14:paraId="11EE5AAB" w14:textId="77777777" w:rsidR="008B3199" w:rsidRPr="00F10EFE" w:rsidRDefault="008B3199" w:rsidP="00F10EFE">
      <w:pPr>
        <w:rPr>
          <w:rFonts w:ascii="Verdana" w:hAnsi="Verdana"/>
          <w:sz w:val="22"/>
          <w:szCs w:val="22"/>
        </w:rPr>
      </w:pPr>
    </w:p>
    <w:p w14:paraId="00190FB7" w14:textId="77777777" w:rsidR="008B3199" w:rsidRPr="00F10EFE" w:rsidRDefault="008B3199" w:rsidP="00F10EFE">
      <w:pPr>
        <w:rPr>
          <w:rFonts w:ascii="Verdana" w:hAnsi="Verdana"/>
          <w:sz w:val="22"/>
          <w:szCs w:val="22"/>
        </w:rPr>
      </w:pPr>
      <w:r w:rsidRPr="00F10EFE">
        <w:rPr>
          <w:rFonts w:ascii="Verdana" w:hAnsi="Verdana"/>
          <w:sz w:val="22"/>
          <w:szCs w:val="22"/>
        </w:rPr>
        <w:t>Durante la elaboración del estudio es posible encontrar casos en los que los campos no pueden ser diligenciados, en este caso debe indicarse que NO APLICA.</w:t>
      </w:r>
    </w:p>
    <w:p w14:paraId="176BF2A8" w14:textId="77777777" w:rsidR="008B3199" w:rsidRPr="00F10EFE" w:rsidRDefault="008B3199" w:rsidP="00F10EFE">
      <w:pPr>
        <w:rPr>
          <w:rFonts w:ascii="Verdana" w:hAnsi="Verdana" w:cs="Arial"/>
          <w:sz w:val="22"/>
          <w:szCs w:val="22"/>
        </w:rPr>
      </w:pPr>
    </w:p>
    <w:p w14:paraId="2348CD5B" w14:textId="77777777" w:rsidR="008B3199" w:rsidRPr="00F10EFE" w:rsidRDefault="008B3199" w:rsidP="00C42376">
      <w:pPr>
        <w:pStyle w:val="Subttulo"/>
        <w:numPr>
          <w:ilvl w:val="0"/>
          <w:numId w:val="0"/>
        </w:numPr>
        <w:spacing w:after="0"/>
        <w:rPr>
          <w:rFonts w:ascii="Verdana" w:hAnsi="Verdana"/>
          <w:sz w:val="22"/>
          <w:szCs w:val="22"/>
        </w:rPr>
      </w:pPr>
      <w:bookmarkStart w:id="0" w:name="_Toc531360099"/>
      <w:r w:rsidRPr="00F10EFE">
        <w:rPr>
          <w:rFonts w:ascii="Verdana" w:hAnsi="Verdana"/>
          <w:sz w:val="22"/>
          <w:szCs w:val="22"/>
        </w:rPr>
        <w:t>SECCIÓN 1: CONSECUTIVO ESTUDIO DE VIABILIDAD TÉCNICA</w:t>
      </w:r>
      <w:bookmarkEnd w:id="0"/>
    </w:p>
    <w:p w14:paraId="3AFAE9FC" w14:textId="77777777" w:rsidR="008B3199" w:rsidRPr="00F10EFE" w:rsidRDefault="008B3199" w:rsidP="00F10EFE">
      <w:pPr>
        <w:rPr>
          <w:rFonts w:ascii="Verdana" w:hAnsi="Verdana" w:cs="Arial"/>
          <w:sz w:val="22"/>
          <w:szCs w:val="22"/>
        </w:rPr>
      </w:pPr>
    </w:p>
    <w:p w14:paraId="46EF3ECA" w14:textId="77777777" w:rsidR="008B3199" w:rsidRPr="00F10EFE" w:rsidRDefault="008B3199" w:rsidP="00F10EFE">
      <w:pPr>
        <w:rPr>
          <w:rFonts w:ascii="Verdana" w:hAnsi="Verdana" w:cs="Arial"/>
          <w:sz w:val="22"/>
          <w:szCs w:val="22"/>
        </w:rPr>
      </w:pPr>
      <w:r w:rsidRPr="00F10EFE">
        <w:rPr>
          <w:rFonts w:ascii="Verdana" w:hAnsi="Verdana" w:cs="Arial"/>
          <w:sz w:val="22"/>
          <w:szCs w:val="22"/>
        </w:rPr>
        <w:t>Dentro de la actuación administrativa puede emitirse más de un estudio de viabilidad técnica</w:t>
      </w:r>
    </w:p>
    <w:p w14:paraId="6348A7D8" w14:textId="77777777" w:rsidR="008B3199" w:rsidRPr="00F10EFE" w:rsidRDefault="008B3199" w:rsidP="00F10EFE">
      <w:pPr>
        <w:rPr>
          <w:rFonts w:ascii="Verdana" w:hAnsi="Verdana" w:cs="Arial"/>
          <w:sz w:val="22"/>
          <w:szCs w:val="22"/>
        </w:rPr>
      </w:pPr>
    </w:p>
    <w:p w14:paraId="755BE8D9" w14:textId="77777777" w:rsidR="008B3199" w:rsidRPr="00F10EFE" w:rsidRDefault="008B3199" w:rsidP="00F10EFE">
      <w:pPr>
        <w:rPr>
          <w:rFonts w:ascii="Verdana" w:hAnsi="Verdana" w:cs="Arial"/>
          <w:sz w:val="22"/>
          <w:szCs w:val="22"/>
        </w:rPr>
      </w:pPr>
      <w:r w:rsidRPr="00F10EFE">
        <w:rPr>
          <w:rFonts w:ascii="Verdana" w:hAnsi="Verdana" w:cs="Arial"/>
          <w:sz w:val="22"/>
          <w:szCs w:val="22"/>
        </w:rPr>
        <w:t>Dicha situación puede presentarse:</w:t>
      </w:r>
    </w:p>
    <w:p w14:paraId="6200D5CD" w14:textId="77777777" w:rsidR="008B3199" w:rsidRPr="00F10EFE" w:rsidRDefault="008B3199" w:rsidP="00F10EFE">
      <w:pPr>
        <w:rPr>
          <w:rFonts w:ascii="Verdana" w:hAnsi="Verdana" w:cs="Arial"/>
          <w:sz w:val="22"/>
          <w:szCs w:val="22"/>
        </w:rPr>
      </w:pPr>
    </w:p>
    <w:p w14:paraId="5516F4CF" w14:textId="77777777" w:rsidR="008B3199" w:rsidRPr="00F10EFE" w:rsidRDefault="008B3199" w:rsidP="00B863F1">
      <w:pPr>
        <w:pStyle w:val="Prrafodelista"/>
        <w:numPr>
          <w:ilvl w:val="0"/>
          <w:numId w:val="11"/>
        </w:numPr>
        <w:ind w:left="851" w:hanging="425"/>
        <w:rPr>
          <w:rFonts w:ascii="Verdana" w:hAnsi="Verdana" w:cs="Arial"/>
          <w:sz w:val="22"/>
          <w:szCs w:val="22"/>
        </w:rPr>
      </w:pPr>
      <w:r w:rsidRPr="00F10EFE">
        <w:rPr>
          <w:rFonts w:ascii="Verdana" w:hAnsi="Verdana" w:cs="Arial"/>
          <w:sz w:val="22"/>
          <w:szCs w:val="22"/>
        </w:rPr>
        <w:t xml:space="preserve">Cuando con ocasión del emplazamiento, de que trata el artículo 2.1.2.2.2.9 del Decreto 1077 de 2015, se presenta y decide la reclamación de un tercero. </w:t>
      </w:r>
    </w:p>
    <w:p w14:paraId="1190C5C5" w14:textId="77777777" w:rsidR="00C42376" w:rsidRDefault="008B3199" w:rsidP="00B863F1">
      <w:pPr>
        <w:pStyle w:val="Prrafodelista"/>
        <w:numPr>
          <w:ilvl w:val="0"/>
          <w:numId w:val="11"/>
        </w:numPr>
        <w:ind w:left="851" w:hanging="425"/>
        <w:rPr>
          <w:rFonts w:ascii="Verdana" w:hAnsi="Verdana" w:cs="Arial"/>
          <w:sz w:val="22"/>
          <w:szCs w:val="22"/>
        </w:rPr>
      </w:pPr>
      <w:r w:rsidRPr="00F10EFE">
        <w:rPr>
          <w:rFonts w:ascii="Verdana" w:hAnsi="Verdana" w:cs="Arial"/>
          <w:sz w:val="22"/>
          <w:szCs w:val="22"/>
        </w:rPr>
        <w:t xml:space="preserve">Cuando en ejercicio del recurso de reposición, la administración   resuelve a favor del recurrente. </w:t>
      </w:r>
    </w:p>
    <w:p w14:paraId="7A9CC04A" w14:textId="023599FF" w:rsidR="008B3199" w:rsidRPr="0088178C" w:rsidRDefault="008B3199" w:rsidP="00F10EFE">
      <w:pPr>
        <w:pStyle w:val="Prrafodelista"/>
        <w:numPr>
          <w:ilvl w:val="0"/>
          <w:numId w:val="11"/>
        </w:numPr>
        <w:ind w:left="851" w:hanging="425"/>
        <w:rPr>
          <w:rFonts w:ascii="Verdana" w:hAnsi="Verdana" w:cs="Arial"/>
          <w:sz w:val="22"/>
          <w:szCs w:val="22"/>
        </w:rPr>
      </w:pPr>
      <w:r w:rsidRPr="00C42376">
        <w:rPr>
          <w:rFonts w:ascii="Verdana" w:hAnsi="Verdana" w:cs="Arial"/>
          <w:sz w:val="22"/>
          <w:szCs w:val="22"/>
        </w:rPr>
        <w:t>Cuando se revoque un acto administrativo a solicitud de parte.</w:t>
      </w:r>
    </w:p>
    <w:p w14:paraId="6A89D642" w14:textId="77777777" w:rsidR="008B3199" w:rsidRPr="00F10EFE" w:rsidRDefault="008B3199" w:rsidP="00F10EFE">
      <w:pPr>
        <w:rPr>
          <w:rFonts w:ascii="Verdana" w:hAnsi="Verdana" w:cs="Arial"/>
          <w:sz w:val="22"/>
          <w:szCs w:val="22"/>
        </w:rPr>
      </w:pPr>
      <w:r w:rsidRPr="00F10EFE">
        <w:rPr>
          <w:rFonts w:ascii="Verdana" w:hAnsi="Verdana" w:cs="Arial"/>
          <w:sz w:val="22"/>
          <w:szCs w:val="22"/>
        </w:rPr>
        <w:t>En los casos antes previstos, deben adelantarse nuevamente los estudios de viabilidad técnica y jurídica, de conformidad con lo establecido en el procedimiento GPV-P-02 Cesión a título gratuito de bienes fiscales de los extintos ICT-INURBE.</w:t>
      </w:r>
    </w:p>
    <w:p w14:paraId="44ED9A16" w14:textId="77777777" w:rsidR="008B3199" w:rsidRPr="00F10EFE" w:rsidRDefault="008B3199" w:rsidP="00F10EFE">
      <w:pPr>
        <w:rPr>
          <w:rFonts w:ascii="Verdana" w:hAnsi="Verdana" w:cs="Arial"/>
          <w:b/>
          <w:sz w:val="22"/>
          <w:szCs w:val="22"/>
        </w:rPr>
      </w:pPr>
    </w:p>
    <w:p w14:paraId="6A3D1E59" w14:textId="77777777" w:rsidR="008B3199" w:rsidRPr="00F10EFE" w:rsidRDefault="008B3199" w:rsidP="00F10EFE">
      <w:pPr>
        <w:rPr>
          <w:rFonts w:ascii="Verdana" w:hAnsi="Verdana" w:cs="Arial"/>
          <w:b/>
          <w:sz w:val="22"/>
          <w:szCs w:val="22"/>
        </w:rPr>
      </w:pPr>
      <w:r w:rsidRPr="00F10EFE">
        <w:rPr>
          <w:rFonts w:ascii="Verdana" w:hAnsi="Verdana" w:cs="Arial"/>
          <w:b/>
          <w:sz w:val="22"/>
          <w:szCs w:val="22"/>
        </w:rPr>
        <w:t xml:space="preserve">Observaciones: </w:t>
      </w:r>
      <w:r w:rsidRPr="00F10EFE">
        <w:rPr>
          <w:rFonts w:ascii="Verdana" w:hAnsi="Verdana" w:cs="Arial"/>
          <w:sz w:val="22"/>
          <w:szCs w:val="22"/>
        </w:rPr>
        <w:t>Las que el profesional considere oportunas, relacionadas esta sección.</w:t>
      </w:r>
    </w:p>
    <w:p w14:paraId="45C22CCD" w14:textId="77777777" w:rsidR="008B3199" w:rsidRDefault="008B3199" w:rsidP="00F10EFE">
      <w:pPr>
        <w:rPr>
          <w:rFonts w:ascii="Verdana" w:hAnsi="Verdana" w:cs="Arial"/>
          <w:sz w:val="22"/>
          <w:szCs w:val="22"/>
        </w:rPr>
      </w:pPr>
    </w:p>
    <w:p w14:paraId="350C9F97" w14:textId="77777777" w:rsidR="0088178C" w:rsidRPr="00F10EFE" w:rsidRDefault="0088178C" w:rsidP="00F10EFE">
      <w:pPr>
        <w:rPr>
          <w:rFonts w:ascii="Verdana" w:hAnsi="Verdana" w:cs="Arial"/>
          <w:sz w:val="22"/>
          <w:szCs w:val="22"/>
        </w:rPr>
      </w:pPr>
    </w:p>
    <w:p w14:paraId="453D809A" w14:textId="60992D73" w:rsidR="008B3199" w:rsidRPr="00F10EFE" w:rsidRDefault="008B3199" w:rsidP="00C42376">
      <w:pPr>
        <w:pStyle w:val="Subttulo"/>
        <w:numPr>
          <w:ilvl w:val="0"/>
          <w:numId w:val="0"/>
        </w:numPr>
        <w:spacing w:after="0"/>
        <w:rPr>
          <w:rFonts w:ascii="Verdana" w:hAnsi="Verdana"/>
          <w:sz w:val="22"/>
          <w:szCs w:val="22"/>
        </w:rPr>
      </w:pPr>
      <w:bookmarkStart w:id="1" w:name="_Toc531360100"/>
      <w:r w:rsidRPr="00F10EFE">
        <w:rPr>
          <w:rFonts w:ascii="Verdana" w:hAnsi="Verdana"/>
          <w:sz w:val="22"/>
          <w:szCs w:val="22"/>
        </w:rPr>
        <w:lastRenderedPageBreak/>
        <w:t>SECCIÓN 2: IDENTIFICACIÓN DEL INMUEBLE</w:t>
      </w:r>
      <w:bookmarkEnd w:id="1"/>
    </w:p>
    <w:p w14:paraId="637B5C66" w14:textId="77777777" w:rsidR="008B3199" w:rsidRPr="00F10EFE" w:rsidRDefault="008B3199" w:rsidP="00F10EFE">
      <w:pPr>
        <w:rPr>
          <w:rFonts w:ascii="Verdana" w:hAnsi="Verdana" w:cs="Arial"/>
          <w:b/>
          <w:sz w:val="22"/>
          <w:szCs w:val="22"/>
        </w:rPr>
      </w:pPr>
    </w:p>
    <w:p w14:paraId="0E94A7B3"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Expediente:</w:t>
      </w:r>
      <w:r w:rsidRPr="00F10EFE">
        <w:rPr>
          <w:rFonts w:cs="Arial"/>
          <w:color w:val="auto"/>
          <w:sz w:val="22"/>
          <w:szCs w:val="22"/>
        </w:rPr>
        <w:t xml:space="preserve"> En este campo se consigna el identificador asignado internamente en el aplicativo ICT-INURBE. Se pueden presentar dos situaciones:</w:t>
      </w:r>
    </w:p>
    <w:p w14:paraId="77F22E0E" w14:textId="77777777" w:rsidR="008B3199" w:rsidRPr="00F10EFE" w:rsidRDefault="008B3199" w:rsidP="00F10EFE">
      <w:pPr>
        <w:rPr>
          <w:rFonts w:ascii="Verdana" w:hAnsi="Verdana" w:cs="Arial"/>
          <w:sz w:val="22"/>
          <w:szCs w:val="22"/>
        </w:rPr>
      </w:pPr>
    </w:p>
    <w:p w14:paraId="20DDB97D"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Ya existe un registro asociado a este inmueble, en este caso se debe verificar que exista </w:t>
      </w:r>
      <w:r w:rsidRPr="00F10EFE">
        <w:rPr>
          <w:rFonts w:ascii="Verdana" w:hAnsi="Verdana" w:cs="Arial"/>
          <w:sz w:val="22"/>
          <w:szCs w:val="22"/>
          <w:u w:val="single"/>
        </w:rPr>
        <w:t>un solo expediente por inmueble</w:t>
      </w:r>
      <w:r w:rsidRPr="00F10EFE">
        <w:rPr>
          <w:rFonts w:ascii="Verdana" w:hAnsi="Verdana" w:cs="Arial"/>
          <w:sz w:val="22"/>
          <w:szCs w:val="22"/>
        </w:rPr>
        <w:t>, de no ser así, se deben realizar las validaciones correspondientes, para cerrar por duplicidad los demás expedientes o registros asociados.</w:t>
      </w:r>
    </w:p>
    <w:p w14:paraId="7521A130" w14:textId="77777777" w:rsidR="008B3199" w:rsidRPr="00F10EFE" w:rsidRDefault="008B3199" w:rsidP="00F10EFE">
      <w:pPr>
        <w:tabs>
          <w:tab w:val="left" w:pos="426"/>
        </w:tabs>
        <w:rPr>
          <w:rFonts w:ascii="Verdana" w:hAnsi="Verdana" w:cs="Arial"/>
          <w:sz w:val="22"/>
          <w:szCs w:val="22"/>
        </w:rPr>
      </w:pPr>
    </w:p>
    <w:p w14:paraId="263191CB" w14:textId="77777777" w:rsidR="008B3199" w:rsidRPr="00F10EFE" w:rsidRDefault="008B3199" w:rsidP="00F10EFE">
      <w:pPr>
        <w:tabs>
          <w:tab w:val="left" w:pos="426"/>
        </w:tabs>
        <w:rPr>
          <w:rFonts w:ascii="Verdana" w:hAnsi="Verdana" w:cs="Arial"/>
          <w:sz w:val="22"/>
          <w:szCs w:val="22"/>
        </w:rPr>
      </w:pPr>
      <w:r w:rsidRPr="00F10EFE">
        <w:rPr>
          <w:rFonts w:ascii="Verdana" w:hAnsi="Verdana" w:cs="Arial"/>
          <w:sz w:val="22"/>
          <w:szCs w:val="22"/>
        </w:rPr>
        <w:t>Es una gestión nueva. En este caso, se debe crear el expediente en la base de datos, mediante solicitud al administrador de la Base de Datos.</w:t>
      </w:r>
    </w:p>
    <w:p w14:paraId="56B2ED30" w14:textId="77777777" w:rsidR="008B3199" w:rsidRPr="00F10EFE" w:rsidRDefault="008B3199" w:rsidP="00F10EFE">
      <w:pPr>
        <w:rPr>
          <w:rFonts w:ascii="Verdana" w:hAnsi="Verdana" w:cs="Arial"/>
          <w:sz w:val="22"/>
          <w:szCs w:val="22"/>
        </w:rPr>
      </w:pPr>
    </w:p>
    <w:p w14:paraId="29423F7A"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Departamento:</w:t>
      </w:r>
      <w:r w:rsidRPr="00F10EFE">
        <w:rPr>
          <w:rFonts w:cs="Arial"/>
          <w:color w:val="auto"/>
          <w:sz w:val="22"/>
          <w:szCs w:val="22"/>
        </w:rPr>
        <w:t xml:space="preserve"> Registrar el departamento en el cual se ubica el bien inmueble objeto de solicitud. </w:t>
      </w:r>
    </w:p>
    <w:p w14:paraId="6D89FA84" w14:textId="77777777" w:rsidR="008B3199" w:rsidRPr="00F10EFE" w:rsidRDefault="008B3199" w:rsidP="00F10EFE">
      <w:pPr>
        <w:rPr>
          <w:rFonts w:ascii="Verdana" w:hAnsi="Verdana" w:cs="Arial"/>
          <w:sz w:val="22"/>
          <w:szCs w:val="22"/>
        </w:rPr>
      </w:pPr>
    </w:p>
    <w:p w14:paraId="615C99EE"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Municipio/Distrito:</w:t>
      </w:r>
      <w:r w:rsidRPr="00F10EFE">
        <w:rPr>
          <w:rFonts w:cs="Arial"/>
          <w:color w:val="auto"/>
          <w:sz w:val="22"/>
          <w:szCs w:val="22"/>
        </w:rPr>
        <w:t xml:space="preserve"> En este campo se diligencia el nombre del municipio o distrito en el que se ubique la unidad inmobiliaria de la solicitud. Este campo también se diligencia con los catalogados distritos, los cuales son: Bogotá, Barranquilla, Cartagena, Santa Marta y Buenaventura.</w:t>
      </w:r>
    </w:p>
    <w:p w14:paraId="388A2298" w14:textId="77777777" w:rsidR="008B3199" w:rsidRPr="00F10EFE" w:rsidRDefault="008B3199" w:rsidP="00F10EFE">
      <w:pPr>
        <w:pStyle w:val="Prrafodelista"/>
        <w:ind w:left="0"/>
        <w:rPr>
          <w:rFonts w:ascii="Verdana" w:hAnsi="Verdana" w:cs="Arial"/>
          <w:b/>
          <w:sz w:val="22"/>
          <w:szCs w:val="22"/>
        </w:rPr>
      </w:pPr>
    </w:p>
    <w:p w14:paraId="265DE09C"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Urbanización/Barrio:</w:t>
      </w:r>
      <w:r w:rsidRPr="00F10EFE">
        <w:rPr>
          <w:rFonts w:cs="Arial"/>
          <w:color w:val="auto"/>
          <w:sz w:val="22"/>
          <w:szCs w:val="22"/>
        </w:rPr>
        <w:t xml:space="preserve"> Se ingresa el nombre que ha dado el I.C.T – INURBE al desarrollo urbanístico y/o el nombre del barrio que ha sido asignado en el Esquema, Plan Básico o Plan de Ordenamiento Territorial del municipio y en el cual se ubica el bien inmueble objeto del trámite de titulación. De no disponer de esta información, el nombre del barrio está asociado a los documentos que allegue el peticionario.</w:t>
      </w:r>
    </w:p>
    <w:p w14:paraId="7A7E8DC5" w14:textId="77777777" w:rsidR="008B3199" w:rsidRPr="00F10EFE" w:rsidRDefault="008B3199" w:rsidP="00F10EFE">
      <w:pPr>
        <w:pStyle w:val="Prrafodelista"/>
        <w:ind w:left="0"/>
        <w:rPr>
          <w:rFonts w:ascii="Verdana" w:hAnsi="Verdana" w:cs="Arial"/>
          <w:sz w:val="22"/>
          <w:szCs w:val="22"/>
        </w:rPr>
      </w:pPr>
    </w:p>
    <w:p w14:paraId="6411BB3F" w14:textId="77777777" w:rsidR="008B3199" w:rsidRDefault="008B3199" w:rsidP="00F10EFE">
      <w:pPr>
        <w:pStyle w:val="Sinespaciado"/>
        <w:ind w:left="0"/>
        <w:rPr>
          <w:rFonts w:cs="Arial"/>
          <w:color w:val="auto"/>
          <w:sz w:val="22"/>
          <w:szCs w:val="22"/>
        </w:rPr>
      </w:pPr>
      <w:r w:rsidRPr="00F10EFE">
        <w:rPr>
          <w:rFonts w:cs="Arial"/>
          <w:b/>
          <w:color w:val="auto"/>
          <w:sz w:val="22"/>
          <w:szCs w:val="22"/>
        </w:rPr>
        <w:t>Dirección actual:</w:t>
      </w:r>
      <w:r w:rsidRPr="00F10EFE">
        <w:rPr>
          <w:rFonts w:cs="Arial"/>
          <w:color w:val="auto"/>
          <w:sz w:val="22"/>
          <w:szCs w:val="22"/>
        </w:rPr>
        <w:t xml:space="preserve"> Corresponde a la dirección de la nomenclatura vial vigente a la fecha de la elaboración del estudio de Viabilidad Técnica, asignada por la entidad territorial competente en el municipio. En caso de que el terreno y la construcción sobre él existente sean identificados con diferentes direcciones por la entidad catastral, se consigna la dirección del terreno, haciendo la observación en el respectivo campo de “observaciones” de la sección “Identificación del Inmueble”.</w:t>
      </w:r>
    </w:p>
    <w:p w14:paraId="550260DE" w14:textId="77777777" w:rsidR="0088178C" w:rsidRPr="00F10EFE" w:rsidRDefault="0088178C" w:rsidP="00F10EFE">
      <w:pPr>
        <w:pStyle w:val="Sinespaciado"/>
        <w:ind w:left="0"/>
        <w:rPr>
          <w:rFonts w:cs="Arial"/>
          <w:color w:val="auto"/>
          <w:sz w:val="22"/>
          <w:szCs w:val="22"/>
        </w:rPr>
      </w:pPr>
    </w:p>
    <w:p w14:paraId="70A855B0"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Fuente dirección actual:</w:t>
      </w:r>
      <w:r w:rsidRPr="00F10EFE">
        <w:rPr>
          <w:rFonts w:cs="Arial"/>
          <w:color w:val="auto"/>
          <w:sz w:val="22"/>
          <w:szCs w:val="22"/>
        </w:rPr>
        <w:t xml:space="preserve"> El campo de la “Dirección Actual” debe ser tomado del certificado plano predial del inmueble, certificado catastral, certificado catastral especial, boletín catastral, recibo de impuesto predial municipal o de los portales o geoportales.</w:t>
      </w:r>
    </w:p>
    <w:p w14:paraId="04EC23EC" w14:textId="77777777" w:rsidR="008B3199" w:rsidRPr="00F10EFE" w:rsidRDefault="008B3199" w:rsidP="00F10EFE">
      <w:pPr>
        <w:pStyle w:val="Prrafodelista"/>
        <w:ind w:left="0"/>
        <w:rPr>
          <w:rFonts w:ascii="Verdana" w:hAnsi="Verdana" w:cs="Arial"/>
          <w:sz w:val="22"/>
          <w:szCs w:val="22"/>
        </w:rPr>
      </w:pPr>
    </w:p>
    <w:p w14:paraId="722AC642"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Dirección 2 (Nomenclatura Antigua):</w:t>
      </w:r>
      <w:r w:rsidRPr="00F10EFE">
        <w:rPr>
          <w:rFonts w:cs="Arial"/>
          <w:color w:val="auto"/>
          <w:sz w:val="22"/>
          <w:szCs w:val="22"/>
        </w:rPr>
        <w:t xml:space="preserve"> Corresponde a la dirección del inmueble de la nomenclatura vial, que pudo haber cambiado durante de los procesos de </w:t>
      </w:r>
      <w:r w:rsidRPr="00F10EFE">
        <w:rPr>
          <w:rFonts w:cs="Arial"/>
          <w:color w:val="auto"/>
          <w:sz w:val="22"/>
          <w:szCs w:val="22"/>
        </w:rPr>
        <w:lastRenderedPageBreak/>
        <w:t xml:space="preserve">actualización catastral en los municipios o pudo haber sido resultado de algún proceso de mutación catastral. </w:t>
      </w:r>
    </w:p>
    <w:p w14:paraId="6E04D4A6" w14:textId="77777777" w:rsidR="008B3199" w:rsidRPr="00F10EFE" w:rsidRDefault="008B3199" w:rsidP="00F10EFE">
      <w:pPr>
        <w:rPr>
          <w:rFonts w:ascii="Verdana" w:hAnsi="Verdana" w:cs="Arial"/>
          <w:sz w:val="22"/>
          <w:szCs w:val="22"/>
        </w:rPr>
      </w:pPr>
    </w:p>
    <w:p w14:paraId="4A5EDC1D"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Fuente Dirección 2:</w:t>
      </w:r>
      <w:r w:rsidRPr="00F10EFE">
        <w:rPr>
          <w:rFonts w:cs="Arial"/>
          <w:color w:val="auto"/>
          <w:sz w:val="22"/>
          <w:szCs w:val="22"/>
        </w:rPr>
        <w:t xml:space="preserve"> El campo de la “Fuente Dirección 2” debe ser tomado de los documentos históricos que reposen en el expediente del proceso de titulación del cual se elabora el estudio de Viabilidad Técnica. En este caso, los documentos históricos deben ser el certificado plano predial del inmueble, certificado catastral, certificado catastral especial, boletín catastral o recibo del impuesto predial municipal.</w:t>
      </w:r>
    </w:p>
    <w:p w14:paraId="342F2F75" w14:textId="77777777" w:rsidR="008B3199" w:rsidRPr="00F10EFE" w:rsidRDefault="008B3199" w:rsidP="00F10EFE">
      <w:pPr>
        <w:pStyle w:val="Prrafodelista"/>
        <w:ind w:left="0"/>
        <w:rPr>
          <w:rFonts w:ascii="Verdana" w:hAnsi="Verdana" w:cs="Arial"/>
          <w:sz w:val="22"/>
          <w:szCs w:val="22"/>
        </w:rPr>
      </w:pPr>
    </w:p>
    <w:p w14:paraId="113C7D10"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Oficina Catastro:</w:t>
      </w:r>
      <w:r w:rsidRPr="00F10EFE">
        <w:rPr>
          <w:rFonts w:cs="Arial"/>
          <w:color w:val="auto"/>
          <w:sz w:val="22"/>
          <w:szCs w:val="22"/>
        </w:rPr>
        <w:t xml:space="preserve"> Los procesos catastrales a nivel nacional, son gestionados por las diferentes oficinas creadas y designadas para tal hecho, lo cual genera una división geográfica del catastro en Colombia. Este campo corresponde a la oficina, delegación o territorial del Instituto Geográfico Agustín Codazzi, asignada al municipio en donde se ubica el inmueble objeto de la solitud, o a los catastros descentralizados.</w:t>
      </w:r>
    </w:p>
    <w:p w14:paraId="58969552" w14:textId="77777777" w:rsidR="008B3199" w:rsidRPr="00F10EFE" w:rsidRDefault="008B3199" w:rsidP="00F10EFE">
      <w:pPr>
        <w:pStyle w:val="Prrafodelista"/>
        <w:ind w:left="0"/>
        <w:rPr>
          <w:rFonts w:ascii="Verdana" w:hAnsi="Verdana" w:cs="Arial"/>
          <w:sz w:val="22"/>
          <w:szCs w:val="22"/>
        </w:rPr>
      </w:pPr>
    </w:p>
    <w:p w14:paraId="23EB41B5"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Identificadores Prediales:</w:t>
      </w:r>
      <w:r w:rsidRPr="00F10EFE">
        <w:rPr>
          <w:rFonts w:cs="Arial"/>
          <w:color w:val="auto"/>
          <w:sz w:val="22"/>
          <w:szCs w:val="22"/>
        </w:rPr>
        <w:t xml:space="preserve"> Existen varios tipos de identificadores asignados a las unidades prediales, inmuebles o lotes que permiten distinguirlos e individualizarlos entre sí; funcionan de forma similar a la cédula de ciudadanía de las personas. Los identificadores catastrales son creados y asignados por la entidad catastral correspondiente. Los identificadores jurídicos o registrales de los predios le corresponden a la Oficina de Registro de Instrumentos Púbicos.</w:t>
      </w:r>
    </w:p>
    <w:p w14:paraId="13448B35" w14:textId="77777777" w:rsidR="008B3199" w:rsidRPr="00F10EFE" w:rsidRDefault="008B3199" w:rsidP="00F10EFE">
      <w:pPr>
        <w:pStyle w:val="Prrafodelista"/>
        <w:ind w:left="0"/>
        <w:rPr>
          <w:rFonts w:ascii="Verdana" w:hAnsi="Verdana" w:cs="Arial"/>
          <w:sz w:val="22"/>
          <w:szCs w:val="22"/>
        </w:rPr>
      </w:pPr>
    </w:p>
    <w:p w14:paraId="479D2A8C"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A nivel catastral existen varios identificadores entre los que se destacan: </w:t>
      </w:r>
    </w:p>
    <w:p w14:paraId="737622D5" w14:textId="77777777" w:rsidR="008B3199" w:rsidRPr="00F10EFE" w:rsidRDefault="008B3199" w:rsidP="00F10EFE">
      <w:pPr>
        <w:pStyle w:val="Prrafodelista"/>
        <w:ind w:left="0"/>
        <w:rPr>
          <w:rFonts w:ascii="Verdana" w:hAnsi="Verdana" w:cs="Arial"/>
          <w:sz w:val="22"/>
          <w:szCs w:val="22"/>
        </w:rPr>
      </w:pPr>
    </w:p>
    <w:p w14:paraId="16234DC0" w14:textId="77777777" w:rsidR="008B3199" w:rsidRPr="00F10EFE" w:rsidRDefault="008B3199" w:rsidP="00B863F1">
      <w:pPr>
        <w:pStyle w:val="Prrafodelista"/>
        <w:numPr>
          <w:ilvl w:val="0"/>
          <w:numId w:val="12"/>
        </w:numPr>
        <w:ind w:left="0" w:firstLine="284"/>
        <w:rPr>
          <w:rFonts w:ascii="Verdana" w:hAnsi="Verdana" w:cs="Arial"/>
          <w:sz w:val="22"/>
          <w:szCs w:val="22"/>
        </w:rPr>
      </w:pPr>
      <w:r w:rsidRPr="00F10EFE">
        <w:rPr>
          <w:rFonts w:ascii="Verdana" w:hAnsi="Verdana" w:cs="Arial"/>
          <w:sz w:val="22"/>
          <w:szCs w:val="22"/>
        </w:rPr>
        <w:t>Número Predial Nacional (nuevo).</w:t>
      </w:r>
    </w:p>
    <w:p w14:paraId="636A88B4" w14:textId="77777777" w:rsidR="008B3199" w:rsidRPr="00F10EFE" w:rsidRDefault="008B3199" w:rsidP="00B863F1">
      <w:pPr>
        <w:pStyle w:val="Prrafodelista"/>
        <w:numPr>
          <w:ilvl w:val="0"/>
          <w:numId w:val="12"/>
        </w:numPr>
        <w:ind w:left="0" w:firstLine="284"/>
        <w:rPr>
          <w:rFonts w:ascii="Verdana" w:hAnsi="Verdana" w:cs="Arial"/>
          <w:sz w:val="22"/>
          <w:szCs w:val="22"/>
        </w:rPr>
      </w:pPr>
      <w:r w:rsidRPr="00F10EFE">
        <w:rPr>
          <w:rFonts w:ascii="Verdana" w:hAnsi="Verdana" w:cs="Arial"/>
          <w:sz w:val="22"/>
          <w:szCs w:val="22"/>
        </w:rPr>
        <w:t>Número Predial (antiguo).</w:t>
      </w:r>
      <w:r w:rsidRPr="00F10EFE">
        <w:rPr>
          <w:rFonts w:ascii="Verdana" w:hAnsi="Verdana" w:cs="Arial"/>
          <w:sz w:val="22"/>
          <w:szCs w:val="22"/>
        </w:rPr>
        <w:tab/>
      </w:r>
      <w:r w:rsidRPr="00F10EFE">
        <w:rPr>
          <w:rFonts w:ascii="Verdana" w:hAnsi="Verdana" w:cs="Arial"/>
          <w:sz w:val="22"/>
          <w:szCs w:val="22"/>
        </w:rPr>
        <w:tab/>
      </w:r>
    </w:p>
    <w:p w14:paraId="090B45F3" w14:textId="77777777" w:rsidR="008B3199" w:rsidRPr="00F10EFE" w:rsidRDefault="008B3199" w:rsidP="00B863F1">
      <w:pPr>
        <w:pStyle w:val="Prrafodelista"/>
        <w:numPr>
          <w:ilvl w:val="0"/>
          <w:numId w:val="12"/>
        </w:numPr>
        <w:ind w:left="0" w:firstLine="284"/>
        <w:rPr>
          <w:rFonts w:ascii="Verdana" w:hAnsi="Verdana" w:cs="Arial"/>
          <w:sz w:val="22"/>
          <w:szCs w:val="22"/>
        </w:rPr>
      </w:pPr>
      <w:r w:rsidRPr="00F10EFE">
        <w:rPr>
          <w:rFonts w:ascii="Verdana" w:hAnsi="Verdana" w:cs="Arial"/>
          <w:sz w:val="22"/>
          <w:szCs w:val="22"/>
        </w:rPr>
        <w:t xml:space="preserve">Cédula catastral. </w:t>
      </w:r>
    </w:p>
    <w:p w14:paraId="1087259D" w14:textId="77777777" w:rsidR="008B3199" w:rsidRPr="00F10EFE" w:rsidRDefault="008B3199" w:rsidP="00B863F1">
      <w:pPr>
        <w:pStyle w:val="Prrafodelista"/>
        <w:numPr>
          <w:ilvl w:val="0"/>
          <w:numId w:val="12"/>
        </w:numPr>
        <w:ind w:left="0" w:firstLine="284"/>
        <w:rPr>
          <w:rFonts w:ascii="Verdana" w:hAnsi="Verdana" w:cs="Arial"/>
          <w:sz w:val="22"/>
          <w:szCs w:val="22"/>
        </w:rPr>
      </w:pPr>
      <w:r w:rsidRPr="00F10EFE">
        <w:rPr>
          <w:rFonts w:ascii="Verdana" w:hAnsi="Verdana" w:cs="Arial"/>
          <w:sz w:val="22"/>
          <w:szCs w:val="22"/>
        </w:rPr>
        <w:t>CHIP.</w:t>
      </w:r>
    </w:p>
    <w:p w14:paraId="2BBAC390" w14:textId="77777777" w:rsidR="008B3199" w:rsidRPr="00F10EFE" w:rsidRDefault="008B3199" w:rsidP="00B863F1">
      <w:pPr>
        <w:pStyle w:val="Prrafodelista"/>
        <w:numPr>
          <w:ilvl w:val="0"/>
          <w:numId w:val="12"/>
        </w:numPr>
        <w:ind w:left="0" w:firstLine="284"/>
        <w:rPr>
          <w:rFonts w:ascii="Verdana" w:hAnsi="Verdana" w:cs="Arial"/>
          <w:sz w:val="22"/>
          <w:szCs w:val="22"/>
        </w:rPr>
      </w:pPr>
      <w:r w:rsidRPr="00F10EFE">
        <w:rPr>
          <w:rFonts w:ascii="Verdana" w:hAnsi="Verdana" w:cs="Arial"/>
          <w:sz w:val="22"/>
          <w:szCs w:val="22"/>
        </w:rPr>
        <w:t>Código del Sector/Lote.</w:t>
      </w:r>
    </w:p>
    <w:p w14:paraId="36ED48C0" w14:textId="77777777" w:rsidR="008B3199" w:rsidRPr="00F10EFE" w:rsidRDefault="008B3199" w:rsidP="00F10EFE">
      <w:pPr>
        <w:rPr>
          <w:rFonts w:ascii="Verdana" w:hAnsi="Verdana" w:cs="Arial"/>
          <w:sz w:val="22"/>
          <w:szCs w:val="22"/>
        </w:rPr>
      </w:pPr>
    </w:p>
    <w:p w14:paraId="480CB4A2" w14:textId="77777777" w:rsidR="008B3199" w:rsidRPr="00F10EFE" w:rsidRDefault="008B3199" w:rsidP="00F10EFE">
      <w:pPr>
        <w:rPr>
          <w:rFonts w:ascii="Verdana" w:hAnsi="Verdana" w:cs="Arial"/>
          <w:sz w:val="22"/>
          <w:szCs w:val="22"/>
        </w:rPr>
      </w:pPr>
      <w:r w:rsidRPr="00F10EFE">
        <w:rPr>
          <w:rFonts w:ascii="Verdana" w:hAnsi="Verdana" w:cs="Arial"/>
          <w:sz w:val="22"/>
          <w:szCs w:val="22"/>
        </w:rPr>
        <w:t>A nivel de registro inmobiliario existe la matrícula inmobiliaria.</w:t>
      </w:r>
    </w:p>
    <w:p w14:paraId="2A7A7E40" w14:textId="77777777" w:rsidR="008B3199" w:rsidRPr="00F10EFE" w:rsidRDefault="008B3199" w:rsidP="00F10EFE">
      <w:pPr>
        <w:pStyle w:val="Prrafodelista"/>
        <w:ind w:left="0"/>
        <w:rPr>
          <w:rFonts w:ascii="Verdana" w:hAnsi="Verdana" w:cs="Arial"/>
          <w:sz w:val="22"/>
          <w:szCs w:val="22"/>
        </w:rPr>
      </w:pPr>
    </w:p>
    <w:p w14:paraId="384A1718"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sz w:val="22"/>
          <w:szCs w:val="22"/>
        </w:rPr>
        <w:t xml:space="preserve">Pese a que las autoridades catastrales centralizadas y descentralizadas están en la obligación de implementar el número predial nacional (nuevo) desde el año 2013, el número predial y la cédula catastral, aún son de uso común, lo cual puede generar confusión. No obstante, en el formato del estudio de viabilidad, son válidos y la búsqueda de expedientes en el aplicativo ICT-INURBE, se efectúa por Cédula Catastral. </w:t>
      </w:r>
    </w:p>
    <w:p w14:paraId="0D64D641" w14:textId="77777777" w:rsidR="008B3199" w:rsidRPr="00F10EFE" w:rsidRDefault="008B3199" w:rsidP="00F10EFE">
      <w:pPr>
        <w:rPr>
          <w:rFonts w:ascii="Verdana" w:hAnsi="Verdana" w:cs="Arial"/>
          <w:sz w:val="22"/>
          <w:szCs w:val="22"/>
        </w:rPr>
      </w:pPr>
    </w:p>
    <w:p w14:paraId="707C299E"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Tipo de Identificador Predial:</w:t>
      </w:r>
      <w:r w:rsidRPr="00F10EFE">
        <w:rPr>
          <w:rFonts w:cs="Arial"/>
          <w:color w:val="auto"/>
          <w:sz w:val="22"/>
          <w:szCs w:val="22"/>
        </w:rPr>
        <w:t xml:space="preserve"> En los campos “Predial 1” y “Predial 2”, se indica el nombre del identificador predial; en algunos casos, la entidad catastral genera un </w:t>
      </w:r>
      <w:r w:rsidRPr="00F10EFE">
        <w:rPr>
          <w:rFonts w:cs="Arial"/>
          <w:color w:val="auto"/>
          <w:sz w:val="22"/>
          <w:szCs w:val="22"/>
        </w:rPr>
        <w:lastRenderedPageBreak/>
        <w:t xml:space="preserve">código predial para la mejora y otro para el terreno. En este caso, se debe indicar en el campo “observaciones”, si el identificador Predial 1 y Predial 2 corresponden a terreno y construcción respectivamente. </w:t>
      </w:r>
    </w:p>
    <w:p w14:paraId="66558077" w14:textId="77777777" w:rsidR="008B3199" w:rsidRPr="00F10EFE" w:rsidRDefault="008B3199" w:rsidP="00F10EFE">
      <w:pPr>
        <w:pStyle w:val="Prrafodelista"/>
        <w:ind w:left="0"/>
        <w:rPr>
          <w:rFonts w:ascii="Verdana" w:hAnsi="Verdana" w:cs="Arial"/>
          <w:b/>
          <w:sz w:val="22"/>
          <w:szCs w:val="22"/>
        </w:rPr>
      </w:pPr>
    </w:p>
    <w:p w14:paraId="792E4EFC"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No. de Matrícula Inmobiliaria de Mayor Extensión</w:t>
      </w:r>
      <w:r w:rsidRPr="00F10EFE">
        <w:rPr>
          <w:rFonts w:cs="Arial"/>
          <w:color w:val="auto"/>
          <w:sz w:val="22"/>
          <w:szCs w:val="22"/>
        </w:rPr>
        <w:t xml:space="preserve">: Aquí se indica la matrícula inmobiliaria con la cual se identifica la </w:t>
      </w:r>
      <w:r w:rsidRPr="00F10EFE">
        <w:rPr>
          <w:rFonts w:cs="Arial"/>
          <w:i/>
          <w:color w:val="auto"/>
          <w:sz w:val="22"/>
          <w:szCs w:val="22"/>
          <w:u w:val="single"/>
        </w:rPr>
        <w:t>Urbanización</w:t>
      </w:r>
      <w:r w:rsidRPr="00F10EFE">
        <w:rPr>
          <w:rFonts w:cs="Arial"/>
          <w:color w:val="auto"/>
          <w:sz w:val="22"/>
          <w:szCs w:val="22"/>
        </w:rPr>
        <w:t xml:space="preserve"> del ICT – INURBE, en donde se ubica el lote objeto de estudio de la viabilidad técnica. </w:t>
      </w:r>
    </w:p>
    <w:p w14:paraId="0099201F" w14:textId="77777777" w:rsidR="008B3199" w:rsidRPr="00F10EFE" w:rsidRDefault="008B3199" w:rsidP="00F10EFE">
      <w:pPr>
        <w:pStyle w:val="Sinespaciado"/>
        <w:ind w:left="0"/>
        <w:rPr>
          <w:rFonts w:cs="Arial"/>
          <w:color w:val="auto"/>
          <w:sz w:val="22"/>
          <w:szCs w:val="22"/>
        </w:rPr>
      </w:pPr>
    </w:p>
    <w:p w14:paraId="0D72016F"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No. de Matrícula Inmobiliaria Individual:</w:t>
      </w:r>
      <w:r w:rsidRPr="00F10EFE">
        <w:rPr>
          <w:rFonts w:cs="Arial"/>
          <w:color w:val="auto"/>
          <w:sz w:val="22"/>
          <w:szCs w:val="22"/>
        </w:rPr>
        <w:t xml:space="preserve"> Es el número que permite individualizar el predio objeto de estudio. Se diligencia este campo siempre y cuando se haya generado cualquiera de las siguientes situaciones: </w:t>
      </w:r>
    </w:p>
    <w:p w14:paraId="69ADAD54" w14:textId="77777777" w:rsidR="008B3199" w:rsidRPr="00F10EFE" w:rsidRDefault="008B3199" w:rsidP="00F10EFE">
      <w:pPr>
        <w:pStyle w:val="Prrafodelista"/>
        <w:ind w:left="0"/>
        <w:rPr>
          <w:rFonts w:ascii="Verdana" w:hAnsi="Verdana" w:cs="Arial"/>
          <w:sz w:val="22"/>
          <w:szCs w:val="22"/>
        </w:rPr>
      </w:pPr>
    </w:p>
    <w:p w14:paraId="46DF6916" w14:textId="77777777" w:rsidR="008B3199" w:rsidRPr="00F10EFE" w:rsidRDefault="008B3199" w:rsidP="00B863F1">
      <w:pPr>
        <w:pStyle w:val="Prrafodelista"/>
        <w:numPr>
          <w:ilvl w:val="0"/>
          <w:numId w:val="13"/>
        </w:numPr>
        <w:tabs>
          <w:tab w:val="left" w:pos="426"/>
        </w:tabs>
        <w:ind w:left="709" w:hanging="283"/>
        <w:rPr>
          <w:rFonts w:ascii="Verdana" w:hAnsi="Verdana" w:cs="Arial"/>
          <w:sz w:val="22"/>
          <w:szCs w:val="22"/>
        </w:rPr>
      </w:pPr>
      <w:r w:rsidRPr="00F10EFE">
        <w:rPr>
          <w:rFonts w:ascii="Verdana" w:hAnsi="Verdana" w:cs="Arial"/>
          <w:sz w:val="22"/>
          <w:szCs w:val="22"/>
        </w:rPr>
        <w:t>Acto de trasferencia de titularidad efectuado por el I.C.T – INURBE o el Ministerio de Vivienda Ciudad y Territorio.</w:t>
      </w:r>
    </w:p>
    <w:p w14:paraId="77648871" w14:textId="77777777" w:rsidR="00C42376" w:rsidRDefault="008B3199" w:rsidP="00B863F1">
      <w:pPr>
        <w:pStyle w:val="Prrafodelista"/>
        <w:numPr>
          <w:ilvl w:val="0"/>
          <w:numId w:val="13"/>
        </w:numPr>
        <w:tabs>
          <w:tab w:val="left" w:pos="426"/>
        </w:tabs>
        <w:ind w:left="709" w:hanging="283"/>
        <w:rPr>
          <w:rFonts w:ascii="Verdana" w:hAnsi="Verdana" w:cs="Arial"/>
          <w:sz w:val="22"/>
          <w:szCs w:val="22"/>
        </w:rPr>
      </w:pPr>
      <w:r w:rsidRPr="00F10EFE">
        <w:rPr>
          <w:rFonts w:ascii="Verdana" w:hAnsi="Verdana" w:cs="Arial"/>
          <w:sz w:val="22"/>
          <w:szCs w:val="22"/>
        </w:rPr>
        <w:t>División predial o loteo, realizado por el I.C.T – INURBE o el Ministerio de Vivienda Ciudad y Territorio.</w:t>
      </w:r>
    </w:p>
    <w:p w14:paraId="43AFF0F4" w14:textId="4E7B9DE0" w:rsidR="008B3199" w:rsidRPr="00C42376" w:rsidRDefault="008B3199" w:rsidP="00B863F1">
      <w:pPr>
        <w:pStyle w:val="Prrafodelista"/>
        <w:numPr>
          <w:ilvl w:val="0"/>
          <w:numId w:val="13"/>
        </w:numPr>
        <w:tabs>
          <w:tab w:val="left" w:pos="426"/>
        </w:tabs>
        <w:ind w:left="709" w:hanging="283"/>
        <w:rPr>
          <w:rFonts w:ascii="Verdana" w:hAnsi="Verdana" w:cs="Arial"/>
          <w:sz w:val="22"/>
          <w:szCs w:val="22"/>
        </w:rPr>
      </w:pPr>
      <w:r w:rsidRPr="00C42376">
        <w:rPr>
          <w:rFonts w:ascii="Verdana" w:hAnsi="Verdana" w:cs="Arial"/>
          <w:sz w:val="22"/>
          <w:szCs w:val="22"/>
        </w:rPr>
        <w:t>Por actos de falsa tradición entre particulares.</w:t>
      </w:r>
    </w:p>
    <w:p w14:paraId="4FBBA532" w14:textId="77777777" w:rsidR="008B3199" w:rsidRPr="00F10EFE" w:rsidRDefault="008B3199" w:rsidP="00F10EFE">
      <w:pPr>
        <w:pStyle w:val="Prrafodelista"/>
        <w:ind w:left="0"/>
        <w:rPr>
          <w:rFonts w:ascii="Verdana" w:hAnsi="Verdana" w:cs="Arial"/>
          <w:sz w:val="22"/>
          <w:szCs w:val="22"/>
        </w:rPr>
      </w:pPr>
    </w:p>
    <w:p w14:paraId="6CBD3FDC"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sz w:val="22"/>
          <w:szCs w:val="22"/>
        </w:rPr>
        <w:t>Si existe matrícula inmobiliaria individual, el profesional catastral, debe determinar si dicha matricula corresponde o no al bien inmueble objeto del estudio.</w:t>
      </w:r>
    </w:p>
    <w:p w14:paraId="3347CCD0" w14:textId="77777777" w:rsidR="008B3199" w:rsidRPr="00F10EFE" w:rsidRDefault="008B3199" w:rsidP="00F10EFE">
      <w:pPr>
        <w:pStyle w:val="Prrafodelista"/>
        <w:ind w:left="0"/>
        <w:rPr>
          <w:rFonts w:ascii="Verdana" w:hAnsi="Verdana" w:cs="Arial"/>
          <w:sz w:val="22"/>
          <w:szCs w:val="22"/>
        </w:rPr>
      </w:pPr>
    </w:p>
    <w:p w14:paraId="648924FF" w14:textId="77777777" w:rsidR="008B3199" w:rsidRPr="00F10EFE" w:rsidRDefault="008B3199" w:rsidP="00F10EFE">
      <w:pPr>
        <w:rPr>
          <w:rFonts w:ascii="Verdana" w:hAnsi="Verdana" w:cs="Arial"/>
          <w:b/>
          <w:sz w:val="22"/>
          <w:szCs w:val="22"/>
        </w:rPr>
      </w:pPr>
      <w:r w:rsidRPr="00F10EFE">
        <w:rPr>
          <w:rFonts w:ascii="Verdana" w:hAnsi="Verdana" w:cs="Arial"/>
          <w:b/>
          <w:sz w:val="22"/>
          <w:szCs w:val="22"/>
        </w:rPr>
        <w:t>2.1 Segregaciones de la Matrícula de Mayor Extensión</w:t>
      </w:r>
    </w:p>
    <w:p w14:paraId="7C5D37E1" w14:textId="77777777" w:rsidR="008B3199" w:rsidRPr="00F10EFE" w:rsidRDefault="008B3199" w:rsidP="00F10EFE">
      <w:pPr>
        <w:rPr>
          <w:rFonts w:ascii="Verdana" w:hAnsi="Verdana" w:cs="Arial"/>
          <w:b/>
          <w:sz w:val="22"/>
          <w:szCs w:val="22"/>
        </w:rPr>
      </w:pPr>
    </w:p>
    <w:p w14:paraId="1F35AC80" w14:textId="77777777" w:rsidR="008B3199" w:rsidRPr="00F10EFE" w:rsidRDefault="008B3199" w:rsidP="00F10EFE">
      <w:pPr>
        <w:rPr>
          <w:rFonts w:ascii="Verdana" w:hAnsi="Verdana" w:cs="Arial"/>
          <w:sz w:val="22"/>
          <w:szCs w:val="22"/>
        </w:rPr>
      </w:pPr>
      <w:r w:rsidRPr="00F10EFE">
        <w:rPr>
          <w:rFonts w:ascii="Verdana" w:hAnsi="Verdana" w:cs="Arial"/>
          <w:sz w:val="22"/>
          <w:szCs w:val="22"/>
        </w:rPr>
        <w:t>Cuando el predio de mayor extensión corresponde a una manzana que ya ha sido objeto de saneamiento, se deben identificar las segregaciones que ya no hacen parte del área restante, toda vez que ya fueron transferidas a terceros.</w:t>
      </w:r>
    </w:p>
    <w:p w14:paraId="6927646B" w14:textId="77777777" w:rsidR="008B3199" w:rsidRPr="00F10EFE" w:rsidRDefault="008B3199" w:rsidP="00F10EFE">
      <w:pPr>
        <w:rPr>
          <w:rFonts w:ascii="Verdana" w:hAnsi="Verdana" w:cs="Arial"/>
          <w:sz w:val="22"/>
          <w:szCs w:val="22"/>
        </w:rPr>
      </w:pPr>
    </w:p>
    <w:p w14:paraId="2744465F" w14:textId="50AFDC31" w:rsidR="008B3199" w:rsidRPr="00F10EFE" w:rsidRDefault="008B3199" w:rsidP="00F10EFE">
      <w:pPr>
        <w:rPr>
          <w:rFonts w:ascii="Verdana" w:hAnsi="Verdana" w:cs="Arial"/>
          <w:sz w:val="22"/>
          <w:szCs w:val="22"/>
        </w:rPr>
      </w:pPr>
      <w:r w:rsidRPr="00F10EFE">
        <w:rPr>
          <w:rFonts w:ascii="Verdana" w:hAnsi="Verdana" w:cs="Arial"/>
          <w:b/>
          <w:sz w:val="22"/>
          <w:szCs w:val="22"/>
        </w:rPr>
        <w:t xml:space="preserve">Observaciones: </w:t>
      </w:r>
      <w:r w:rsidRPr="00F10EFE">
        <w:rPr>
          <w:rFonts w:ascii="Verdana" w:hAnsi="Verdana" w:cs="Arial"/>
          <w:sz w:val="22"/>
          <w:szCs w:val="22"/>
        </w:rPr>
        <w:t>Las que el profesional considere oportunas, relacionadas esta sección.</w:t>
      </w:r>
    </w:p>
    <w:p w14:paraId="7D373129" w14:textId="77777777" w:rsidR="0088178C" w:rsidRPr="00F10EFE" w:rsidRDefault="0088178C" w:rsidP="00F10EFE">
      <w:pPr>
        <w:rPr>
          <w:rFonts w:ascii="Verdana" w:hAnsi="Verdana" w:cs="Arial"/>
          <w:sz w:val="22"/>
          <w:szCs w:val="22"/>
        </w:rPr>
      </w:pPr>
    </w:p>
    <w:p w14:paraId="6E0E52EB" w14:textId="77777777" w:rsidR="008B3199" w:rsidRPr="00F10EFE" w:rsidRDefault="008B3199" w:rsidP="00C42376">
      <w:pPr>
        <w:pStyle w:val="Subttulo"/>
        <w:numPr>
          <w:ilvl w:val="0"/>
          <w:numId w:val="0"/>
        </w:numPr>
        <w:spacing w:after="0"/>
        <w:rPr>
          <w:rFonts w:ascii="Verdana" w:hAnsi="Verdana"/>
          <w:sz w:val="22"/>
          <w:szCs w:val="22"/>
        </w:rPr>
      </w:pPr>
      <w:bookmarkStart w:id="2" w:name="_Toc531360101"/>
      <w:r w:rsidRPr="00F10EFE">
        <w:rPr>
          <w:rFonts w:ascii="Verdana" w:hAnsi="Verdana"/>
          <w:sz w:val="22"/>
          <w:szCs w:val="22"/>
        </w:rPr>
        <w:t>SECCIÓN 3: ESQUEMA DE LOCALIZACIÓN DEL INMUEBLE.</w:t>
      </w:r>
      <w:bookmarkEnd w:id="2"/>
    </w:p>
    <w:p w14:paraId="368FF789" w14:textId="77777777" w:rsidR="008B3199" w:rsidRPr="00F10EFE" w:rsidRDefault="008B3199" w:rsidP="00F10EFE">
      <w:pPr>
        <w:rPr>
          <w:rFonts w:ascii="Verdana" w:hAnsi="Verdana" w:cs="Arial"/>
          <w:sz w:val="22"/>
          <w:szCs w:val="22"/>
        </w:rPr>
      </w:pPr>
    </w:p>
    <w:p w14:paraId="4C181304" w14:textId="77777777" w:rsidR="008B3199" w:rsidRPr="00F10EFE" w:rsidRDefault="008B3199" w:rsidP="00F10EFE">
      <w:pPr>
        <w:rPr>
          <w:rFonts w:ascii="Verdana" w:hAnsi="Verdana" w:cs="Arial"/>
          <w:sz w:val="22"/>
          <w:szCs w:val="22"/>
        </w:rPr>
      </w:pPr>
      <w:r w:rsidRPr="00F10EFE">
        <w:rPr>
          <w:rFonts w:ascii="Verdana" w:hAnsi="Verdana" w:cs="Arial"/>
          <w:sz w:val="22"/>
          <w:szCs w:val="22"/>
        </w:rPr>
        <w:t>En este espacio se efectúa la representación gráfica del inmueble.</w:t>
      </w:r>
    </w:p>
    <w:p w14:paraId="529E6EE6" w14:textId="77777777" w:rsidR="008B3199" w:rsidRPr="00F10EFE" w:rsidRDefault="008B3199" w:rsidP="00F10EFE">
      <w:pPr>
        <w:rPr>
          <w:rFonts w:ascii="Verdana" w:hAnsi="Verdana" w:cs="Arial"/>
          <w:sz w:val="22"/>
          <w:szCs w:val="22"/>
        </w:rPr>
      </w:pPr>
    </w:p>
    <w:p w14:paraId="23113D5B"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Fuente:</w:t>
      </w:r>
      <w:r w:rsidRPr="00F10EFE">
        <w:rPr>
          <w:rFonts w:cs="Arial"/>
          <w:color w:val="auto"/>
          <w:sz w:val="22"/>
          <w:szCs w:val="22"/>
        </w:rPr>
        <w:t xml:space="preserve"> Hace mención al origen de la información utilizada para determinar el esquema de localización. La representación gráfica debe ser tomada de los documentos expedidos por la autoridad catastral correspondiente: </w:t>
      </w:r>
    </w:p>
    <w:p w14:paraId="676B90B1" w14:textId="77777777" w:rsidR="008B3199" w:rsidRPr="00F10EFE" w:rsidRDefault="008B3199" w:rsidP="00F10EFE">
      <w:pPr>
        <w:rPr>
          <w:rFonts w:ascii="Verdana" w:hAnsi="Verdana" w:cs="Arial"/>
          <w:sz w:val="22"/>
          <w:szCs w:val="22"/>
        </w:rPr>
      </w:pPr>
    </w:p>
    <w:p w14:paraId="249ABED4" w14:textId="77777777" w:rsidR="008B3199" w:rsidRPr="00F10EFE" w:rsidRDefault="008B3199" w:rsidP="00B863F1">
      <w:pPr>
        <w:pStyle w:val="Prrafodelista"/>
        <w:numPr>
          <w:ilvl w:val="0"/>
          <w:numId w:val="14"/>
        </w:numPr>
        <w:ind w:left="709" w:hanging="283"/>
        <w:rPr>
          <w:rFonts w:ascii="Verdana" w:hAnsi="Verdana" w:cs="Arial"/>
          <w:sz w:val="22"/>
          <w:szCs w:val="22"/>
        </w:rPr>
      </w:pPr>
      <w:r w:rsidRPr="00F10EFE">
        <w:rPr>
          <w:rFonts w:ascii="Verdana" w:hAnsi="Verdana" w:cs="Arial"/>
          <w:sz w:val="22"/>
          <w:szCs w:val="22"/>
        </w:rPr>
        <w:t>Certificado plano predial.</w:t>
      </w:r>
    </w:p>
    <w:p w14:paraId="5F978D67" w14:textId="77777777" w:rsidR="008B3199" w:rsidRPr="00F10EFE" w:rsidRDefault="008B3199" w:rsidP="00B863F1">
      <w:pPr>
        <w:pStyle w:val="Prrafodelista"/>
        <w:numPr>
          <w:ilvl w:val="0"/>
          <w:numId w:val="14"/>
        </w:numPr>
        <w:ind w:left="709" w:hanging="283"/>
        <w:rPr>
          <w:rFonts w:ascii="Verdana" w:hAnsi="Verdana" w:cs="Arial"/>
          <w:sz w:val="22"/>
          <w:szCs w:val="22"/>
        </w:rPr>
      </w:pPr>
      <w:r w:rsidRPr="00F10EFE">
        <w:rPr>
          <w:rFonts w:ascii="Verdana" w:hAnsi="Verdana" w:cs="Arial"/>
          <w:sz w:val="22"/>
          <w:szCs w:val="22"/>
        </w:rPr>
        <w:t>Plancha de manzana catastral urbana.</w:t>
      </w:r>
    </w:p>
    <w:p w14:paraId="4AE8340C" w14:textId="7D9FDDF7" w:rsidR="008B3199" w:rsidRPr="0088178C" w:rsidRDefault="008B3199" w:rsidP="00F10EFE">
      <w:pPr>
        <w:pStyle w:val="Prrafodelista"/>
        <w:numPr>
          <w:ilvl w:val="0"/>
          <w:numId w:val="14"/>
        </w:numPr>
        <w:ind w:left="709" w:hanging="283"/>
        <w:rPr>
          <w:rFonts w:ascii="Verdana" w:hAnsi="Verdana" w:cs="Arial"/>
          <w:sz w:val="22"/>
          <w:szCs w:val="22"/>
        </w:rPr>
      </w:pPr>
      <w:r w:rsidRPr="00F10EFE">
        <w:rPr>
          <w:rFonts w:ascii="Verdana" w:hAnsi="Verdana" w:cs="Arial"/>
          <w:sz w:val="22"/>
          <w:szCs w:val="22"/>
        </w:rPr>
        <w:t xml:space="preserve">Información disponible en los portales o geoportales catastrales. </w:t>
      </w:r>
    </w:p>
    <w:p w14:paraId="49217C69"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lastRenderedPageBreak/>
        <w:t>Fecha de Consulta:</w:t>
      </w:r>
      <w:r w:rsidRPr="00F10EFE">
        <w:rPr>
          <w:rFonts w:cs="Arial"/>
          <w:color w:val="auto"/>
          <w:sz w:val="22"/>
          <w:szCs w:val="22"/>
        </w:rPr>
        <w:t xml:space="preserve"> La fecha de consulta hace referencia a la fecha de expedición del certificado plano predial o plancha de manzana catastral. Si la información gráfica fue consultada en un Portal o Geoportal, la fecha es la del momento de búsqueda y consulta.</w:t>
      </w:r>
    </w:p>
    <w:p w14:paraId="24AEAFFF" w14:textId="77777777" w:rsidR="008B3199" w:rsidRPr="00F10EFE" w:rsidRDefault="008B3199" w:rsidP="00F10EFE">
      <w:pPr>
        <w:pStyle w:val="Sinespaciado"/>
        <w:ind w:left="0"/>
        <w:rPr>
          <w:rFonts w:cs="Arial"/>
          <w:color w:val="auto"/>
          <w:sz w:val="22"/>
          <w:szCs w:val="22"/>
        </w:rPr>
      </w:pPr>
    </w:p>
    <w:p w14:paraId="5CA29A09"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Observaciones:</w:t>
      </w:r>
      <w:r w:rsidRPr="00F10EFE">
        <w:rPr>
          <w:rFonts w:cs="Arial"/>
          <w:color w:val="auto"/>
          <w:sz w:val="22"/>
          <w:szCs w:val="22"/>
        </w:rPr>
        <w:t xml:space="preserve"> Las que el profesional considere oportunas, relacionadas esta sección.</w:t>
      </w:r>
    </w:p>
    <w:p w14:paraId="64FC2149" w14:textId="77777777" w:rsidR="008B3199" w:rsidRPr="00F10EFE" w:rsidRDefault="008B3199" w:rsidP="00F10EFE">
      <w:pPr>
        <w:pStyle w:val="Sinespaciado"/>
        <w:ind w:left="0"/>
        <w:rPr>
          <w:rFonts w:cs="Arial"/>
          <w:color w:val="auto"/>
          <w:sz w:val="22"/>
          <w:szCs w:val="22"/>
        </w:rPr>
      </w:pPr>
    </w:p>
    <w:p w14:paraId="0B104370" w14:textId="77777777" w:rsidR="008B3199" w:rsidRPr="00F10EFE" w:rsidRDefault="008B3199" w:rsidP="00C42376">
      <w:pPr>
        <w:pStyle w:val="Subttulo"/>
        <w:numPr>
          <w:ilvl w:val="0"/>
          <w:numId w:val="0"/>
        </w:numPr>
        <w:spacing w:after="0"/>
        <w:rPr>
          <w:rFonts w:ascii="Verdana" w:hAnsi="Verdana"/>
          <w:sz w:val="22"/>
          <w:szCs w:val="22"/>
        </w:rPr>
      </w:pPr>
      <w:bookmarkStart w:id="3" w:name="_Toc531360102"/>
      <w:r w:rsidRPr="00F10EFE">
        <w:rPr>
          <w:rFonts w:ascii="Verdana" w:hAnsi="Verdana"/>
          <w:sz w:val="22"/>
          <w:szCs w:val="22"/>
        </w:rPr>
        <w:t>SECCIÓN 4: INFORMACIÓN CATASTRAL DEL INMUEBLE SOLICITADO A TÍTULO GRATUITO</w:t>
      </w:r>
      <w:bookmarkEnd w:id="3"/>
    </w:p>
    <w:p w14:paraId="09F7DACF" w14:textId="77777777" w:rsidR="008B3199" w:rsidRPr="00F10EFE" w:rsidRDefault="008B3199" w:rsidP="00F10EFE">
      <w:pPr>
        <w:rPr>
          <w:rFonts w:ascii="Verdana" w:hAnsi="Verdana" w:cs="Arial"/>
          <w:sz w:val="22"/>
          <w:szCs w:val="22"/>
        </w:rPr>
      </w:pPr>
    </w:p>
    <w:p w14:paraId="0491F6BE"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Nombre de la Persona Registrada en las Bases Catastrales</w:t>
      </w:r>
      <w:r w:rsidRPr="00F10EFE">
        <w:rPr>
          <w:rFonts w:cs="Arial"/>
          <w:color w:val="auto"/>
          <w:sz w:val="22"/>
          <w:szCs w:val="22"/>
        </w:rPr>
        <w:t>: Es el nombre de la persona registrada en las bases catastrales. Este dato puede ser tomado de las siguientes fuentes:</w:t>
      </w:r>
    </w:p>
    <w:p w14:paraId="6EB38BB2" w14:textId="77777777" w:rsidR="008B3199" w:rsidRPr="00F10EFE" w:rsidRDefault="008B3199" w:rsidP="00F10EFE">
      <w:pPr>
        <w:pStyle w:val="Prrafodelista"/>
        <w:ind w:left="0"/>
        <w:rPr>
          <w:rFonts w:ascii="Verdana" w:hAnsi="Verdana" w:cs="Arial"/>
          <w:sz w:val="22"/>
          <w:szCs w:val="22"/>
        </w:rPr>
      </w:pPr>
    </w:p>
    <w:p w14:paraId="79032019" w14:textId="77777777" w:rsidR="008B3199" w:rsidRPr="00F10EFE" w:rsidRDefault="008B3199" w:rsidP="00B863F1">
      <w:pPr>
        <w:pStyle w:val="Prrafodelista"/>
        <w:numPr>
          <w:ilvl w:val="0"/>
          <w:numId w:val="15"/>
        </w:numPr>
        <w:ind w:left="567" w:hanging="283"/>
        <w:rPr>
          <w:rFonts w:ascii="Verdana" w:hAnsi="Verdana" w:cs="Arial"/>
          <w:sz w:val="22"/>
          <w:szCs w:val="22"/>
        </w:rPr>
      </w:pPr>
      <w:r w:rsidRPr="00F10EFE">
        <w:rPr>
          <w:rFonts w:ascii="Verdana" w:hAnsi="Verdana" w:cs="Arial"/>
          <w:sz w:val="22"/>
          <w:szCs w:val="22"/>
        </w:rPr>
        <w:t xml:space="preserve">El certificado catastral predial. </w:t>
      </w:r>
    </w:p>
    <w:p w14:paraId="07F369C7" w14:textId="77777777" w:rsidR="008B3199" w:rsidRPr="00F10EFE" w:rsidRDefault="008B3199" w:rsidP="00B863F1">
      <w:pPr>
        <w:pStyle w:val="Prrafodelista"/>
        <w:numPr>
          <w:ilvl w:val="0"/>
          <w:numId w:val="15"/>
        </w:numPr>
        <w:ind w:left="567" w:hanging="283"/>
        <w:rPr>
          <w:rFonts w:ascii="Verdana" w:hAnsi="Verdana" w:cs="Arial"/>
          <w:sz w:val="22"/>
          <w:szCs w:val="22"/>
        </w:rPr>
      </w:pPr>
      <w:r w:rsidRPr="00F10EFE">
        <w:rPr>
          <w:rFonts w:ascii="Verdana" w:hAnsi="Verdana" w:cs="Arial"/>
          <w:sz w:val="22"/>
          <w:szCs w:val="22"/>
        </w:rPr>
        <w:t>La información catastral que está a disposición del Ministerio, con base al decreto 1077 de 2015 en su artículo 2.1.1.1.1.4.1.1. “Verificación de información”.</w:t>
      </w:r>
    </w:p>
    <w:p w14:paraId="202DB32A" w14:textId="77777777" w:rsidR="008B3199" w:rsidRPr="00F10EFE" w:rsidRDefault="008B3199" w:rsidP="00B863F1">
      <w:pPr>
        <w:pStyle w:val="Prrafodelista"/>
        <w:numPr>
          <w:ilvl w:val="0"/>
          <w:numId w:val="15"/>
        </w:numPr>
        <w:ind w:left="567" w:hanging="283"/>
        <w:rPr>
          <w:rFonts w:ascii="Verdana" w:hAnsi="Verdana" w:cs="Arial"/>
          <w:sz w:val="22"/>
          <w:szCs w:val="22"/>
        </w:rPr>
      </w:pPr>
      <w:r w:rsidRPr="00F10EFE">
        <w:rPr>
          <w:rFonts w:ascii="Verdana" w:hAnsi="Verdana" w:cs="Arial"/>
          <w:sz w:val="22"/>
          <w:szCs w:val="22"/>
        </w:rPr>
        <w:t>El recibo de impuesto predial municipal, pues, aunque es expedido por las secretarías de hacienda de los municipios o distritos, la información allí contenida es alimentada por las bases de datos de la entidad catastral encargada.</w:t>
      </w:r>
    </w:p>
    <w:p w14:paraId="143F0AC2" w14:textId="77777777" w:rsidR="008B3199" w:rsidRPr="00F10EFE" w:rsidRDefault="008B3199" w:rsidP="00F10EFE">
      <w:pPr>
        <w:rPr>
          <w:rFonts w:ascii="Verdana" w:hAnsi="Verdana" w:cs="Arial"/>
          <w:sz w:val="22"/>
          <w:szCs w:val="22"/>
        </w:rPr>
      </w:pPr>
    </w:p>
    <w:p w14:paraId="518C664E" w14:textId="77777777" w:rsidR="008B3199" w:rsidRPr="00F10EFE" w:rsidRDefault="008B3199" w:rsidP="00F10EFE">
      <w:pPr>
        <w:tabs>
          <w:tab w:val="left" w:pos="994"/>
        </w:tabs>
        <w:rPr>
          <w:rFonts w:ascii="Verdana" w:hAnsi="Verdana" w:cs="Arial"/>
          <w:sz w:val="22"/>
          <w:szCs w:val="22"/>
        </w:rPr>
      </w:pPr>
      <w:r w:rsidRPr="00F10EFE">
        <w:rPr>
          <w:rFonts w:ascii="Verdana" w:hAnsi="Verdana" w:cs="Arial"/>
          <w:b/>
          <w:sz w:val="22"/>
          <w:szCs w:val="22"/>
        </w:rPr>
        <w:t>NOTA:</w:t>
      </w:r>
      <w:r w:rsidRPr="00F10EFE">
        <w:rPr>
          <w:rFonts w:ascii="Verdana" w:hAnsi="Verdana" w:cs="Arial"/>
          <w:sz w:val="22"/>
          <w:szCs w:val="22"/>
        </w:rPr>
        <w:t xml:space="preserve"> El certificado catastral especial, no es el documento idóneo para el diligenciamiento de este ítem, en cuanto está referido al predio de mayor extensión bajo la titularidad del ICT – INURBE.</w:t>
      </w:r>
    </w:p>
    <w:p w14:paraId="123D9029" w14:textId="77777777" w:rsidR="008B3199" w:rsidRPr="00F10EFE" w:rsidRDefault="008B3199" w:rsidP="00F10EFE">
      <w:pPr>
        <w:pStyle w:val="Prrafodelista"/>
        <w:ind w:left="0"/>
        <w:rPr>
          <w:rFonts w:ascii="Verdana" w:hAnsi="Verdana" w:cs="Arial"/>
          <w:sz w:val="22"/>
          <w:szCs w:val="22"/>
        </w:rPr>
      </w:pPr>
    </w:p>
    <w:p w14:paraId="74AEFEE7" w14:textId="4965DD0B" w:rsidR="008B3199" w:rsidRDefault="008B3199" w:rsidP="0088178C">
      <w:pPr>
        <w:pStyle w:val="Sinespaciado"/>
        <w:ind w:left="0"/>
        <w:rPr>
          <w:rFonts w:cs="Arial"/>
          <w:color w:val="auto"/>
          <w:sz w:val="22"/>
          <w:szCs w:val="22"/>
        </w:rPr>
      </w:pPr>
      <w:r w:rsidRPr="00F10EFE">
        <w:rPr>
          <w:rFonts w:cs="Arial"/>
          <w:b/>
          <w:color w:val="auto"/>
          <w:sz w:val="22"/>
          <w:szCs w:val="22"/>
        </w:rPr>
        <w:t>No. Certificado Plano Predial Catastro (CPPC):</w:t>
      </w:r>
      <w:r w:rsidRPr="00F10EFE">
        <w:rPr>
          <w:rFonts w:cs="Arial"/>
          <w:color w:val="auto"/>
          <w:sz w:val="22"/>
          <w:szCs w:val="22"/>
        </w:rPr>
        <w:t xml:space="preserve"> Corresponde al número asignado al certificado plano predial en el momento de su expedición.</w:t>
      </w:r>
    </w:p>
    <w:p w14:paraId="7635EAA7" w14:textId="77777777" w:rsidR="0088178C" w:rsidRPr="0088178C" w:rsidRDefault="0088178C" w:rsidP="0088178C">
      <w:pPr>
        <w:pStyle w:val="Sinespaciado"/>
        <w:ind w:left="0"/>
        <w:rPr>
          <w:rFonts w:cs="Arial"/>
          <w:color w:val="auto"/>
          <w:sz w:val="22"/>
          <w:szCs w:val="22"/>
        </w:rPr>
      </w:pPr>
    </w:p>
    <w:p w14:paraId="7875D6C8" w14:textId="77777777" w:rsidR="008B3199" w:rsidRPr="00F10EFE" w:rsidRDefault="008B3199" w:rsidP="00F10EFE">
      <w:pPr>
        <w:rPr>
          <w:rFonts w:ascii="Verdana" w:hAnsi="Verdana" w:cs="Arial"/>
          <w:sz w:val="22"/>
          <w:szCs w:val="22"/>
        </w:rPr>
      </w:pPr>
      <w:r w:rsidRPr="00F10EFE">
        <w:rPr>
          <w:rFonts w:ascii="Verdana" w:hAnsi="Verdana" w:cs="Arial"/>
          <w:b/>
          <w:sz w:val="22"/>
          <w:szCs w:val="22"/>
        </w:rPr>
        <w:t>NOTA:</w:t>
      </w:r>
      <w:r w:rsidRPr="00F10EFE">
        <w:rPr>
          <w:rFonts w:ascii="Verdana" w:hAnsi="Verdana" w:cs="Arial"/>
          <w:sz w:val="22"/>
          <w:szCs w:val="22"/>
        </w:rPr>
        <w:t xml:space="preserve"> Para los catastros descentralizados, este certificado plano predial es un documento compuesto por un certificado especial de cabida y linderos y un plano de manzana.</w:t>
      </w:r>
    </w:p>
    <w:p w14:paraId="5BBDA207" w14:textId="77777777" w:rsidR="008B3199" w:rsidRPr="00F10EFE" w:rsidRDefault="008B3199" w:rsidP="00F10EFE">
      <w:pPr>
        <w:pStyle w:val="Prrafodelista"/>
        <w:ind w:left="0"/>
        <w:rPr>
          <w:rFonts w:ascii="Verdana" w:hAnsi="Verdana" w:cs="Arial"/>
          <w:sz w:val="22"/>
          <w:szCs w:val="22"/>
        </w:rPr>
      </w:pPr>
    </w:p>
    <w:p w14:paraId="14FDCBA0"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Fecha CPPC:</w:t>
      </w:r>
      <w:r w:rsidRPr="00F10EFE">
        <w:rPr>
          <w:rFonts w:cs="Arial"/>
          <w:color w:val="auto"/>
          <w:sz w:val="22"/>
          <w:szCs w:val="22"/>
        </w:rPr>
        <w:t xml:space="preserve"> Es la fecha de expedición del certificado plano predial.</w:t>
      </w:r>
    </w:p>
    <w:p w14:paraId="67796DDF" w14:textId="77777777" w:rsidR="008B3199" w:rsidRPr="00F10EFE" w:rsidRDefault="008B3199" w:rsidP="00F10EFE">
      <w:pPr>
        <w:pStyle w:val="Prrafodelista"/>
        <w:ind w:left="0"/>
        <w:rPr>
          <w:rFonts w:ascii="Verdana" w:hAnsi="Verdana" w:cs="Arial"/>
          <w:b/>
          <w:sz w:val="22"/>
          <w:szCs w:val="22"/>
        </w:rPr>
      </w:pPr>
    </w:p>
    <w:p w14:paraId="3878FF6B"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Área del terreno Certificada en CPPC (m2):</w:t>
      </w:r>
      <w:r w:rsidRPr="00F10EFE">
        <w:rPr>
          <w:rFonts w:cs="Arial"/>
          <w:color w:val="auto"/>
          <w:sz w:val="22"/>
          <w:szCs w:val="22"/>
        </w:rPr>
        <w:t xml:space="preserve"> Área o extensión superficiaria, expresada en metros cuadrados, del terreno del inmueble, lote o predio. Este dato debe tomarse del certificado plano predial.</w:t>
      </w:r>
    </w:p>
    <w:p w14:paraId="14EB8BEF" w14:textId="77777777" w:rsidR="008B3199" w:rsidRPr="00F10EFE" w:rsidRDefault="008B3199" w:rsidP="00F10EFE">
      <w:pPr>
        <w:pStyle w:val="Prrafodelista"/>
        <w:ind w:left="0"/>
        <w:rPr>
          <w:rFonts w:ascii="Verdana" w:hAnsi="Verdana" w:cs="Arial"/>
          <w:sz w:val="22"/>
          <w:szCs w:val="22"/>
        </w:rPr>
      </w:pPr>
    </w:p>
    <w:p w14:paraId="36163BB3" w14:textId="0D77FAA3" w:rsidR="008B3199" w:rsidRPr="0088178C" w:rsidRDefault="008B3199" w:rsidP="00F10EFE">
      <w:pPr>
        <w:pStyle w:val="Prrafodelista"/>
        <w:ind w:left="0"/>
        <w:rPr>
          <w:rFonts w:ascii="Verdana" w:hAnsi="Verdana" w:cs="Arial"/>
          <w:b/>
          <w:sz w:val="22"/>
          <w:szCs w:val="22"/>
        </w:rPr>
      </w:pPr>
      <w:r w:rsidRPr="00F10EFE">
        <w:rPr>
          <w:rFonts w:ascii="Verdana" w:hAnsi="Verdana" w:cs="Arial"/>
          <w:b/>
          <w:sz w:val="22"/>
          <w:szCs w:val="22"/>
        </w:rPr>
        <w:t xml:space="preserve">Área construida de la mejora (m2): </w:t>
      </w:r>
      <w:r w:rsidRPr="00F10EFE">
        <w:rPr>
          <w:rFonts w:ascii="Verdana" w:hAnsi="Verdana" w:cs="Arial"/>
          <w:sz w:val="22"/>
          <w:szCs w:val="22"/>
        </w:rPr>
        <w:t xml:space="preserve">Área de la construcción levantada sobre el terreno, expresada en metros cuadrados. Esta información puede tomarse de: </w:t>
      </w:r>
    </w:p>
    <w:p w14:paraId="0DFD08FD" w14:textId="77777777" w:rsidR="008B3199" w:rsidRPr="00F10EFE" w:rsidRDefault="008B3199" w:rsidP="00B863F1">
      <w:pPr>
        <w:pStyle w:val="Prrafodelista"/>
        <w:numPr>
          <w:ilvl w:val="0"/>
          <w:numId w:val="16"/>
        </w:numPr>
        <w:tabs>
          <w:tab w:val="left" w:pos="709"/>
        </w:tabs>
        <w:ind w:left="709" w:hanging="425"/>
        <w:rPr>
          <w:rFonts w:ascii="Verdana" w:hAnsi="Verdana" w:cs="Arial"/>
          <w:sz w:val="22"/>
          <w:szCs w:val="22"/>
        </w:rPr>
      </w:pPr>
      <w:r w:rsidRPr="00F10EFE">
        <w:rPr>
          <w:rFonts w:ascii="Verdana" w:hAnsi="Verdana" w:cs="Arial"/>
          <w:sz w:val="22"/>
          <w:szCs w:val="22"/>
        </w:rPr>
        <w:lastRenderedPageBreak/>
        <w:t>Certificado Plano Predial</w:t>
      </w:r>
    </w:p>
    <w:p w14:paraId="3F4E85E9" w14:textId="77777777" w:rsidR="008B3199" w:rsidRPr="00F10EFE" w:rsidRDefault="008B3199" w:rsidP="00B863F1">
      <w:pPr>
        <w:pStyle w:val="Prrafodelista"/>
        <w:numPr>
          <w:ilvl w:val="0"/>
          <w:numId w:val="16"/>
        </w:numPr>
        <w:tabs>
          <w:tab w:val="left" w:pos="709"/>
        </w:tabs>
        <w:ind w:left="709" w:hanging="425"/>
        <w:rPr>
          <w:rFonts w:ascii="Verdana" w:hAnsi="Verdana" w:cs="Arial"/>
          <w:sz w:val="22"/>
          <w:szCs w:val="22"/>
        </w:rPr>
      </w:pPr>
      <w:r w:rsidRPr="00F10EFE">
        <w:rPr>
          <w:rFonts w:ascii="Verdana" w:hAnsi="Verdana" w:cs="Arial"/>
          <w:sz w:val="22"/>
          <w:szCs w:val="22"/>
        </w:rPr>
        <w:t>Recibo del impuesto predial</w:t>
      </w:r>
    </w:p>
    <w:p w14:paraId="427417BB" w14:textId="77777777" w:rsidR="008B3199" w:rsidRPr="00F10EFE" w:rsidRDefault="008B3199" w:rsidP="00B863F1">
      <w:pPr>
        <w:pStyle w:val="Prrafodelista"/>
        <w:numPr>
          <w:ilvl w:val="0"/>
          <w:numId w:val="16"/>
        </w:numPr>
        <w:tabs>
          <w:tab w:val="left" w:pos="709"/>
        </w:tabs>
        <w:ind w:left="709" w:hanging="425"/>
        <w:rPr>
          <w:rFonts w:ascii="Verdana" w:hAnsi="Verdana" w:cs="Arial"/>
          <w:sz w:val="22"/>
          <w:szCs w:val="22"/>
        </w:rPr>
      </w:pPr>
      <w:r w:rsidRPr="00F10EFE">
        <w:rPr>
          <w:rFonts w:ascii="Verdana" w:hAnsi="Verdana" w:cs="Arial"/>
          <w:sz w:val="22"/>
          <w:szCs w:val="22"/>
        </w:rPr>
        <w:t>Certificado Catastral</w:t>
      </w:r>
    </w:p>
    <w:p w14:paraId="7ABF43D6" w14:textId="77777777" w:rsidR="008B3199" w:rsidRPr="00F10EFE" w:rsidRDefault="008B3199" w:rsidP="00B863F1">
      <w:pPr>
        <w:pStyle w:val="Prrafodelista"/>
        <w:numPr>
          <w:ilvl w:val="0"/>
          <w:numId w:val="16"/>
        </w:numPr>
        <w:tabs>
          <w:tab w:val="left" w:pos="709"/>
        </w:tabs>
        <w:ind w:left="709" w:hanging="425"/>
        <w:rPr>
          <w:rFonts w:ascii="Verdana" w:hAnsi="Verdana" w:cs="Arial"/>
          <w:sz w:val="22"/>
          <w:szCs w:val="22"/>
        </w:rPr>
      </w:pPr>
      <w:r w:rsidRPr="00F10EFE">
        <w:rPr>
          <w:rFonts w:ascii="Verdana" w:hAnsi="Verdana" w:cs="Arial"/>
          <w:sz w:val="22"/>
          <w:szCs w:val="22"/>
        </w:rPr>
        <w:t>Boletín Catastral</w:t>
      </w:r>
    </w:p>
    <w:p w14:paraId="169A5FF5" w14:textId="77777777" w:rsidR="008B3199" w:rsidRPr="00F10EFE" w:rsidRDefault="008B3199" w:rsidP="00C42376">
      <w:pPr>
        <w:pStyle w:val="Sinespaciado"/>
        <w:tabs>
          <w:tab w:val="left" w:pos="709"/>
        </w:tabs>
        <w:ind w:left="709" w:hanging="425"/>
        <w:rPr>
          <w:rFonts w:cs="Arial"/>
          <w:color w:val="auto"/>
          <w:sz w:val="22"/>
          <w:szCs w:val="22"/>
        </w:rPr>
      </w:pPr>
    </w:p>
    <w:p w14:paraId="3B5FED2E" w14:textId="77777777" w:rsidR="008B3199" w:rsidRPr="00F10EFE" w:rsidRDefault="008B3199" w:rsidP="00F10EFE">
      <w:pPr>
        <w:pStyle w:val="Sinespaciado"/>
        <w:ind w:left="0"/>
        <w:rPr>
          <w:rFonts w:cs="Arial"/>
          <w:color w:val="auto"/>
          <w:sz w:val="22"/>
          <w:szCs w:val="22"/>
        </w:rPr>
      </w:pPr>
      <w:r w:rsidRPr="00F10EFE">
        <w:rPr>
          <w:rFonts w:cs="Arial"/>
          <w:color w:val="auto"/>
          <w:sz w:val="22"/>
          <w:szCs w:val="22"/>
        </w:rPr>
        <w:t>Nota: En el evento en que se disponga de más de uno de estos documentos, se tomará el más reciente.</w:t>
      </w:r>
    </w:p>
    <w:p w14:paraId="6A1AD9DF" w14:textId="77777777" w:rsidR="008B3199" w:rsidRPr="00F10EFE" w:rsidRDefault="008B3199" w:rsidP="00F10EFE">
      <w:pPr>
        <w:pStyle w:val="Sinespaciado"/>
        <w:ind w:left="0"/>
        <w:rPr>
          <w:rFonts w:cs="Arial"/>
          <w:color w:val="auto"/>
          <w:sz w:val="22"/>
          <w:szCs w:val="22"/>
        </w:rPr>
      </w:pPr>
    </w:p>
    <w:p w14:paraId="232529E3" w14:textId="77777777" w:rsidR="008B3199" w:rsidRPr="00F10EFE" w:rsidRDefault="008B3199" w:rsidP="00F10EFE">
      <w:pPr>
        <w:pStyle w:val="Prrafodelista"/>
        <w:ind w:left="0"/>
        <w:rPr>
          <w:rFonts w:ascii="Verdana" w:hAnsi="Verdana" w:cs="Arial"/>
          <w:b/>
          <w:sz w:val="22"/>
          <w:szCs w:val="22"/>
        </w:rPr>
      </w:pPr>
      <w:r w:rsidRPr="00F10EFE">
        <w:rPr>
          <w:rFonts w:ascii="Verdana" w:hAnsi="Verdana" w:cs="Arial"/>
          <w:b/>
          <w:sz w:val="22"/>
          <w:szCs w:val="22"/>
        </w:rPr>
        <w:t xml:space="preserve">Destino económico del inmueble según autoridad catastral: </w:t>
      </w:r>
      <w:r w:rsidRPr="00F10EFE">
        <w:rPr>
          <w:rFonts w:ascii="Verdana" w:hAnsi="Verdana" w:cs="Arial"/>
          <w:sz w:val="22"/>
          <w:szCs w:val="22"/>
        </w:rPr>
        <w:t xml:space="preserve">El destino económico lo define la autoridad catastral competente. Esta información se consulta en: </w:t>
      </w:r>
    </w:p>
    <w:p w14:paraId="63C4B631" w14:textId="77777777" w:rsidR="008B3199" w:rsidRPr="00F10EFE" w:rsidRDefault="008B3199" w:rsidP="00F10EFE">
      <w:pPr>
        <w:pStyle w:val="Prrafodelista"/>
        <w:ind w:left="0"/>
        <w:rPr>
          <w:rFonts w:ascii="Verdana" w:hAnsi="Verdana" w:cs="Arial"/>
          <w:sz w:val="22"/>
          <w:szCs w:val="22"/>
        </w:rPr>
      </w:pPr>
    </w:p>
    <w:p w14:paraId="0C8E4FA5" w14:textId="77777777" w:rsidR="008B3199" w:rsidRPr="00F10EFE" w:rsidRDefault="008B3199" w:rsidP="00B863F1">
      <w:pPr>
        <w:pStyle w:val="Prrafodelista"/>
        <w:numPr>
          <w:ilvl w:val="0"/>
          <w:numId w:val="17"/>
        </w:numPr>
        <w:ind w:left="709" w:hanging="425"/>
        <w:rPr>
          <w:rFonts w:ascii="Verdana" w:hAnsi="Verdana" w:cs="Arial"/>
          <w:sz w:val="22"/>
          <w:szCs w:val="22"/>
        </w:rPr>
      </w:pPr>
      <w:r w:rsidRPr="00F10EFE">
        <w:rPr>
          <w:rFonts w:ascii="Verdana" w:hAnsi="Verdana" w:cs="Arial"/>
          <w:sz w:val="22"/>
          <w:szCs w:val="22"/>
        </w:rPr>
        <w:t>El recibo del impuesto predial expedido por las secretarías de hacienda de las alcaldías de los municipios o distritos</w:t>
      </w:r>
    </w:p>
    <w:p w14:paraId="4A921840" w14:textId="77777777" w:rsidR="008B3199" w:rsidRPr="00F10EFE" w:rsidRDefault="008B3199" w:rsidP="00B863F1">
      <w:pPr>
        <w:pStyle w:val="Prrafodelista"/>
        <w:numPr>
          <w:ilvl w:val="0"/>
          <w:numId w:val="17"/>
        </w:numPr>
        <w:ind w:left="709" w:hanging="425"/>
        <w:rPr>
          <w:rFonts w:ascii="Verdana" w:hAnsi="Verdana" w:cs="Arial"/>
          <w:sz w:val="22"/>
          <w:szCs w:val="22"/>
        </w:rPr>
      </w:pPr>
      <w:r w:rsidRPr="00F10EFE">
        <w:rPr>
          <w:rFonts w:ascii="Verdana" w:hAnsi="Verdana" w:cs="Arial"/>
          <w:sz w:val="22"/>
          <w:szCs w:val="22"/>
        </w:rPr>
        <w:t>La certificación catastral</w:t>
      </w:r>
    </w:p>
    <w:p w14:paraId="61B928A3" w14:textId="77777777" w:rsidR="008B3199" w:rsidRPr="00F10EFE" w:rsidRDefault="008B3199" w:rsidP="00B863F1">
      <w:pPr>
        <w:pStyle w:val="Prrafodelista"/>
        <w:numPr>
          <w:ilvl w:val="0"/>
          <w:numId w:val="17"/>
        </w:numPr>
        <w:ind w:left="709" w:hanging="425"/>
        <w:rPr>
          <w:rFonts w:ascii="Verdana" w:hAnsi="Verdana" w:cs="Arial"/>
          <w:sz w:val="22"/>
          <w:szCs w:val="22"/>
        </w:rPr>
      </w:pPr>
      <w:r w:rsidRPr="00F10EFE">
        <w:rPr>
          <w:rFonts w:ascii="Verdana" w:hAnsi="Verdana" w:cs="Arial"/>
          <w:sz w:val="22"/>
          <w:szCs w:val="22"/>
        </w:rPr>
        <w:t xml:space="preserve">En las bases de datos de las entidades catastrales denominados registros 1 y 2 o registros alfanuméricos. </w:t>
      </w:r>
    </w:p>
    <w:p w14:paraId="1758E9CE" w14:textId="77777777" w:rsidR="008B3199" w:rsidRPr="00F10EFE" w:rsidRDefault="008B3199" w:rsidP="00B863F1">
      <w:pPr>
        <w:pStyle w:val="Prrafodelista"/>
        <w:numPr>
          <w:ilvl w:val="0"/>
          <w:numId w:val="17"/>
        </w:numPr>
        <w:ind w:left="709" w:hanging="425"/>
        <w:rPr>
          <w:rFonts w:ascii="Verdana" w:hAnsi="Verdana" w:cs="Arial"/>
          <w:sz w:val="22"/>
          <w:szCs w:val="22"/>
        </w:rPr>
      </w:pPr>
      <w:r w:rsidRPr="00F10EFE">
        <w:rPr>
          <w:rFonts w:ascii="Verdana" w:hAnsi="Verdana" w:cs="Arial"/>
          <w:sz w:val="22"/>
          <w:szCs w:val="22"/>
        </w:rPr>
        <w:t>En los Portales o Geoportales que permitan hacer esta consulta.</w:t>
      </w:r>
    </w:p>
    <w:p w14:paraId="490E4F97" w14:textId="77777777" w:rsidR="008B3199" w:rsidRPr="00F10EFE" w:rsidRDefault="008B3199" w:rsidP="00F10EFE">
      <w:pPr>
        <w:pStyle w:val="Prrafodelista"/>
        <w:ind w:left="0"/>
        <w:rPr>
          <w:rFonts w:ascii="Verdana" w:hAnsi="Verdana" w:cs="Arial"/>
          <w:sz w:val="22"/>
          <w:szCs w:val="22"/>
        </w:rPr>
      </w:pPr>
    </w:p>
    <w:p w14:paraId="45101FD5"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b/>
          <w:sz w:val="22"/>
          <w:szCs w:val="22"/>
        </w:rPr>
        <w:t>Nota 1:</w:t>
      </w:r>
      <w:r w:rsidRPr="00F10EFE">
        <w:rPr>
          <w:rFonts w:ascii="Verdana" w:hAnsi="Verdana" w:cs="Arial"/>
          <w:sz w:val="22"/>
          <w:szCs w:val="22"/>
        </w:rPr>
        <w:t xml:space="preserve"> Para confirmar si el inmueble en estudio está destinado para fines habitacionales, puede verificar en los recibos de impuesto predial, el estrato socioeconómico.</w:t>
      </w:r>
    </w:p>
    <w:p w14:paraId="16A20F44" w14:textId="77777777" w:rsidR="008B3199" w:rsidRPr="00F10EFE" w:rsidRDefault="008B3199" w:rsidP="00F10EFE">
      <w:pPr>
        <w:pStyle w:val="Prrafodelista"/>
        <w:ind w:left="0"/>
        <w:rPr>
          <w:rFonts w:ascii="Verdana" w:hAnsi="Verdana" w:cs="Arial"/>
          <w:sz w:val="22"/>
          <w:szCs w:val="22"/>
        </w:rPr>
      </w:pPr>
    </w:p>
    <w:p w14:paraId="623051DB" w14:textId="77777777" w:rsidR="008B3199" w:rsidRPr="00F10EFE" w:rsidRDefault="008B3199" w:rsidP="00F10EFE">
      <w:pPr>
        <w:rPr>
          <w:rFonts w:ascii="Verdana" w:hAnsi="Verdana" w:cs="Arial"/>
          <w:sz w:val="22"/>
          <w:szCs w:val="22"/>
        </w:rPr>
      </w:pPr>
      <w:r w:rsidRPr="00F10EFE">
        <w:rPr>
          <w:rFonts w:ascii="Verdana" w:hAnsi="Verdana" w:cs="Arial"/>
          <w:sz w:val="22"/>
          <w:szCs w:val="22"/>
        </w:rPr>
        <w:t>En caso de tener un destino diferente, por ejemplo, el comercial o lote, la entidad territorial no hace asignación de estrato o este es igual a cero (0).  Para el caso de Bogotá, este documento se obtiene por medio del aplicativo SINUPOT.</w:t>
      </w:r>
    </w:p>
    <w:p w14:paraId="72C13A90" w14:textId="77777777" w:rsidR="008B3199" w:rsidRPr="00F10EFE" w:rsidRDefault="008B3199" w:rsidP="00F10EFE">
      <w:pPr>
        <w:rPr>
          <w:rFonts w:ascii="Verdana" w:hAnsi="Verdana" w:cs="Arial"/>
          <w:sz w:val="22"/>
          <w:szCs w:val="22"/>
        </w:rPr>
      </w:pPr>
    </w:p>
    <w:p w14:paraId="79F097C0"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b/>
          <w:sz w:val="22"/>
          <w:szCs w:val="22"/>
        </w:rPr>
        <w:t>Nota 2</w:t>
      </w:r>
      <w:r w:rsidRPr="00F10EFE">
        <w:rPr>
          <w:rFonts w:ascii="Verdana" w:hAnsi="Verdana" w:cs="Arial"/>
          <w:sz w:val="22"/>
          <w:szCs w:val="22"/>
        </w:rPr>
        <w:t>: En la ciudad de Bogotá, la Unidad Administrativa Especial de Catastro Distrital (UAECD), determina además del “destino económico”, el “uso” de las construcciones y/o edificaciones (véase definiciones de este documento). Ambos datos son producto de los procesos de formación, conservación y actualización catastral, que se formalizan mediante la resolución que expide la UAECD y describen la realidad del inmueble en el momento de la visita del funcionario de esta entidad.</w:t>
      </w:r>
    </w:p>
    <w:p w14:paraId="1DFAA141" w14:textId="77777777" w:rsidR="008B3199" w:rsidRPr="00F10EFE" w:rsidRDefault="008B3199" w:rsidP="00F10EFE">
      <w:pPr>
        <w:pStyle w:val="Prrafodelista"/>
        <w:ind w:left="0"/>
        <w:rPr>
          <w:rFonts w:ascii="Verdana" w:hAnsi="Verdana" w:cs="Arial"/>
          <w:sz w:val="22"/>
          <w:szCs w:val="22"/>
        </w:rPr>
      </w:pPr>
    </w:p>
    <w:p w14:paraId="330901DF" w14:textId="77777777" w:rsidR="008B3199" w:rsidRPr="00F10EFE" w:rsidRDefault="008B3199" w:rsidP="00F10EFE">
      <w:pPr>
        <w:pStyle w:val="Prrafodelista"/>
        <w:ind w:left="0"/>
        <w:rPr>
          <w:rFonts w:ascii="Verdana" w:hAnsi="Verdana" w:cs="Arial"/>
          <w:b/>
          <w:sz w:val="22"/>
          <w:szCs w:val="22"/>
        </w:rPr>
      </w:pPr>
      <w:r w:rsidRPr="00F10EFE">
        <w:rPr>
          <w:rFonts w:ascii="Verdana" w:hAnsi="Verdana" w:cs="Arial"/>
          <w:b/>
          <w:sz w:val="22"/>
          <w:szCs w:val="22"/>
        </w:rPr>
        <w:t xml:space="preserve">Fuente del Dato del Destino Económico: </w:t>
      </w:r>
      <w:r w:rsidRPr="00F10EFE">
        <w:rPr>
          <w:rFonts w:ascii="Verdana" w:hAnsi="Verdana" w:cs="Arial"/>
          <w:sz w:val="22"/>
          <w:szCs w:val="22"/>
        </w:rPr>
        <w:t xml:space="preserve">Hace mención al origen de la información utilizada para determinar el destino económico. </w:t>
      </w:r>
    </w:p>
    <w:p w14:paraId="7B9997E2" w14:textId="77777777" w:rsidR="008B3199" w:rsidRPr="00F10EFE" w:rsidRDefault="008B3199" w:rsidP="00F10EFE">
      <w:pPr>
        <w:pStyle w:val="Prrafodelista"/>
        <w:ind w:left="0"/>
        <w:rPr>
          <w:rFonts w:ascii="Verdana" w:hAnsi="Verdana" w:cs="Arial"/>
          <w:sz w:val="22"/>
          <w:szCs w:val="22"/>
        </w:rPr>
      </w:pPr>
    </w:p>
    <w:p w14:paraId="4E64AB11" w14:textId="77777777" w:rsidR="008B3199" w:rsidRPr="00F10EFE" w:rsidRDefault="008B3199" w:rsidP="00F10EFE">
      <w:pPr>
        <w:pStyle w:val="Prrafodelista"/>
        <w:ind w:left="0"/>
        <w:rPr>
          <w:rFonts w:ascii="Verdana" w:hAnsi="Verdana" w:cs="Arial"/>
          <w:b/>
          <w:sz w:val="22"/>
          <w:szCs w:val="22"/>
        </w:rPr>
      </w:pPr>
      <w:r w:rsidRPr="00F10EFE">
        <w:rPr>
          <w:rFonts w:ascii="Verdana" w:hAnsi="Verdana" w:cs="Arial"/>
          <w:b/>
          <w:sz w:val="22"/>
          <w:szCs w:val="22"/>
        </w:rPr>
        <w:t xml:space="preserve">Fecha de la Fuente del Destino Económico: </w:t>
      </w:r>
      <w:r w:rsidRPr="00F10EFE">
        <w:rPr>
          <w:rFonts w:ascii="Verdana" w:hAnsi="Verdana" w:cs="Arial"/>
          <w:sz w:val="22"/>
          <w:szCs w:val="22"/>
        </w:rPr>
        <w:t>La fecha de consulta hace referencia a la fecha de expedición del documento o vigencia del archivo del cual se extrae el destino económico.</w:t>
      </w:r>
    </w:p>
    <w:p w14:paraId="07038FA9" w14:textId="77777777" w:rsidR="008B3199" w:rsidRPr="00F10EFE" w:rsidRDefault="008B3199" w:rsidP="00F10EFE">
      <w:pPr>
        <w:pStyle w:val="Prrafodelista"/>
        <w:ind w:left="0"/>
        <w:rPr>
          <w:rFonts w:ascii="Verdana" w:hAnsi="Verdana" w:cs="Arial"/>
          <w:sz w:val="22"/>
          <w:szCs w:val="22"/>
        </w:rPr>
      </w:pPr>
    </w:p>
    <w:p w14:paraId="2EAAE9C3" w14:textId="77777777" w:rsidR="008B3199" w:rsidRPr="00F10EFE" w:rsidRDefault="008B3199" w:rsidP="00F10EFE">
      <w:pPr>
        <w:rPr>
          <w:rFonts w:ascii="Verdana" w:hAnsi="Verdana" w:cs="Arial"/>
          <w:b/>
          <w:sz w:val="22"/>
          <w:szCs w:val="22"/>
        </w:rPr>
      </w:pPr>
      <w:r w:rsidRPr="00F10EFE">
        <w:rPr>
          <w:rFonts w:ascii="Verdana" w:hAnsi="Verdana" w:cs="Arial"/>
          <w:b/>
          <w:sz w:val="22"/>
          <w:szCs w:val="22"/>
        </w:rPr>
        <w:lastRenderedPageBreak/>
        <w:t xml:space="preserve">Observaciones: </w:t>
      </w:r>
      <w:r w:rsidRPr="00F10EFE">
        <w:rPr>
          <w:rFonts w:ascii="Verdana" w:hAnsi="Verdana" w:cs="Arial"/>
          <w:sz w:val="22"/>
          <w:szCs w:val="22"/>
        </w:rPr>
        <w:t>Las que el profesional considere oportunas, relacionadas esta sección.</w:t>
      </w:r>
    </w:p>
    <w:p w14:paraId="6DD6AD7C" w14:textId="77777777" w:rsidR="008B3199" w:rsidRPr="00F10EFE" w:rsidRDefault="008B3199" w:rsidP="00F10EFE">
      <w:pPr>
        <w:pStyle w:val="Prrafodelista"/>
        <w:ind w:left="0"/>
        <w:rPr>
          <w:rFonts w:ascii="Verdana" w:hAnsi="Verdana" w:cs="Arial"/>
          <w:sz w:val="22"/>
          <w:szCs w:val="22"/>
        </w:rPr>
      </w:pPr>
    </w:p>
    <w:p w14:paraId="5FCA7178" w14:textId="77777777" w:rsidR="008B3199" w:rsidRPr="00F10EFE" w:rsidRDefault="008B3199" w:rsidP="00C42376">
      <w:pPr>
        <w:pStyle w:val="Subttulo"/>
        <w:numPr>
          <w:ilvl w:val="0"/>
          <w:numId w:val="0"/>
        </w:numPr>
        <w:spacing w:after="0"/>
        <w:rPr>
          <w:rFonts w:ascii="Verdana" w:hAnsi="Verdana"/>
          <w:sz w:val="22"/>
          <w:szCs w:val="22"/>
        </w:rPr>
      </w:pPr>
      <w:bookmarkStart w:id="4" w:name="_Toc531360103"/>
      <w:r w:rsidRPr="00F10EFE">
        <w:rPr>
          <w:rFonts w:ascii="Verdana" w:hAnsi="Verdana"/>
          <w:sz w:val="22"/>
          <w:szCs w:val="22"/>
        </w:rPr>
        <w:t>SECCIÓN 5: INFORMACIÓN DEL AVALÚO DEL INMUEBLE</w:t>
      </w:r>
      <w:bookmarkEnd w:id="4"/>
    </w:p>
    <w:p w14:paraId="746FF982" w14:textId="77777777" w:rsidR="008B3199" w:rsidRPr="00F10EFE" w:rsidRDefault="008B3199" w:rsidP="00F10EFE">
      <w:pPr>
        <w:rPr>
          <w:rFonts w:ascii="Verdana" w:hAnsi="Verdana" w:cs="Arial"/>
          <w:sz w:val="22"/>
          <w:szCs w:val="22"/>
        </w:rPr>
      </w:pPr>
    </w:p>
    <w:p w14:paraId="06C3E62B"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Como se explicó al inicio del presente instructivo, la actuación administrativa se inicia de manera oficiosa o a petición del ocupante. </w:t>
      </w:r>
    </w:p>
    <w:p w14:paraId="2461AF81" w14:textId="77777777" w:rsidR="008B3199" w:rsidRPr="00F10EFE" w:rsidRDefault="008B3199" w:rsidP="00F10EFE">
      <w:pPr>
        <w:rPr>
          <w:rFonts w:ascii="Verdana" w:hAnsi="Verdana" w:cs="Arial"/>
          <w:sz w:val="22"/>
          <w:szCs w:val="22"/>
        </w:rPr>
      </w:pPr>
    </w:p>
    <w:p w14:paraId="0B975B18" w14:textId="651E1BEC" w:rsidR="00C42376" w:rsidRDefault="008B3199" w:rsidP="00B863F1">
      <w:pPr>
        <w:pStyle w:val="Prrafodelista"/>
        <w:numPr>
          <w:ilvl w:val="0"/>
          <w:numId w:val="18"/>
        </w:numPr>
        <w:tabs>
          <w:tab w:val="left" w:pos="426"/>
        </w:tabs>
        <w:ind w:left="426" w:hanging="426"/>
        <w:rPr>
          <w:rFonts w:ascii="Verdana" w:hAnsi="Verdana" w:cs="Arial"/>
          <w:sz w:val="22"/>
          <w:szCs w:val="22"/>
        </w:rPr>
      </w:pPr>
      <w:r w:rsidRPr="00F10EFE">
        <w:rPr>
          <w:rFonts w:ascii="Verdana" w:hAnsi="Verdana" w:cs="Arial"/>
          <w:sz w:val="22"/>
          <w:szCs w:val="22"/>
        </w:rPr>
        <w:t>Si la actuación se inicia de manera oficiosa: La entidad tituladora adelantará las acciones necesarias para que se contrate la elaboración del avalúo, el cual incluirá la deflactación.</w:t>
      </w:r>
    </w:p>
    <w:p w14:paraId="16845367" w14:textId="77777777" w:rsidR="00C42376" w:rsidRDefault="00C42376" w:rsidP="00C42376">
      <w:pPr>
        <w:pStyle w:val="Prrafodelista"/>
        <w:tabs>
          <w:tab w:val="left" w:pos="426"/>
        </w:tabs>
        <w:ind w:left="0"/>
        <w:rPr>
          <w:rFonts w:ascii="Verdana" w:hAnsi="Verdana" w:cs="Arial"/>
          <w:sz w:val="22"/>
          <w:szCs w:val="22"/>
        </w:rPr>
      </w:pPr>
    </w:p>
    <w:p w14:paraId="0B4D395C" w14:textId="488E4F48" w:rsidR="008B3199" w:rsidRPr="00C42376" w:rsidRDefault="008B3199" w:rsidP="00B863F1">
      <w:pPr>
        <w:pStyle w:val="Prrafodelista"/>
        <w:numPr>
          <w:ilvl w:val="0"/>
          <w:numId w:val="18"/>
        </w:numPr>
        <w:tabs>
          <w:tab w:val="left" w:pos="426"/>
        </w:tabs>
        <w:ind w:left="426" w:hanging="426"/>
        <w:rPr>
          <w:rFonts w:ascii="Verdana" w:hAnsi="Verdana" w:cs="Arial"/>
          <w:sz w:val="22"/>
          <w:szCs w:val="22"/>
        </w:rPr>
      </w:pPr>
      <w:r w:rsidRPr="00C42376">
        <w:rPr>
          <w:rFonts w:ascii="Verdana" w:hAnsi="Verdana" w:cs="Arial"/>
          <w:sz w:val="22"/>
          <w:szCs w:val="22"/>
        </w:rPr>
        <w:t>Si la actuación administrativa se inicia a petición de parte: La entidad tituladora podrá adelantar las acciones necesarias para que se contrate la elaboración del avalúo, el cual incluirá la deflactación, si como resultado de la gestión administrativa no se viabiliza la consecución del avalúo, el ocupante deberá remitir un avalúo comercial, realizado por un perito acreditado con el Registro Abierto de Avaluadores vigente o por una lonja o entidad facultada para practicar un avalúo, y será el Ministerio quien realice el proceso de deflactación.</w:t>
      </w:r>
    </w:p>
    <w:p w14:paraId="2C9E3366" w14:textId="77777777" w:rsidR="008B3199" w:rsidRPr="00F10EFE" w:rsidRDefault="008B3199" w:rsidP="00F10EFE">
      <w:pPr>
        <w:rPr>
          <w:rFonts w:ascii="Verdana" w:hAnsi="Verdana" w:cs="Arial"/>
          <w:sz w:val="22"/>
          <w:szCs w:val="22"/>
        </w:rPr>
      </w:pPr>
    </w:p>
    <w:p w14:paraId="4C2693A4" w14:textId="77777777" w:rsidR="008B3199" w:rsidRPr="00F10EFE" w:rsidRDefault="008B3199" w:rsidP="00C42376">
      <w:pPr>
        <w:ind w:left="426"/>
        <w:rPr>
          <w:rFonts w:ascii="Verdana" w:hAnsi="Verdana" w:cs="Arial"/>
          <w:sz w:val="22"/>
          <w:szCs w:val="22"/>
        </w:rPr>
      </w:pPr>
      <w:r w:rsidRPr="00F10EFE">
        <w:rPr>
          <w:rFonts w:ascii="Verdana" w:hAnsi="Verdana" w:cs="Arial"/>
          <w:sz w:val="22"/>
          <w:szCs w:val="22"/>
        </w:rPr>
        <w:t xml:space="preserve">Dado que la lonja avaluadora es quien certifica el valor del avalúo comercial, el profesional técnico deberá consignar el valor del avalúo total (Terreno + construcción), el año de la vigencia del avalúo, y la fecha de ocupación, que sea determinada conjuntamente con el profesional jurídico también designado. </w:t>
      </w:r>
    </w:p>
    <w:p w14:paraId="7EFACE45" w14:textId="77777777" w:rsidR="008B3199" w:rsidRPr="00F10EFE" w:rsidRDefault="008B3199" w:rsidP="00F10EFE">
      <w:pPr>
        <w:rPr>
          <w:rFonts w:ascii="Verdana" w:hAnsi="Verdana" w:cs="Arial"/>
          <w:sz w:val="22"/>
          <w:szCs w:val="22"/>
        </w:rPr>
      </w:pPr>
    </w:p>
    <w:p w14:paraId="76C82925" w14:textId="77777777" w:rsidR="008B3199" w:rsidRPr="00F10EFE" w:rsidRDefault="008B3199" w:rsidP="00C42376">
      <w:pPr>
        <w:ind w:left="426"/>
        <w:rPr>
          <w:rFonts w:ascii="Verdana" w:hAnsi="Verdana" w:cs="Arial"/>
          <w:sz w:val="22"/>
          <w:szCs w:val="22"/>
        </w:rPr>
      </w:pPr>
      <w:r w:rsidRPr="00F10EFE">
        <w:rPr>
          <w:rFonts w:ascii="Verdana" w:hAnsi="Verdana" w:cs="Arial"/>
          <w:sz w:val="22"/>
          <w:szCs w:val="22"/>
        </w:rPr>
        <w:t xml:space="preserve">Conforme a lo indicado por el artículo 2.1.2.2.2.6 del Decreto 1077 de 2015, se tomará como referencia el tope VIS vigente a la fecha de elaboración del estudio de viabilidad. </w:t>
      </w:r>
    </w:p>
    <w:p w14:paraId="77DF68D9" w14:textId="77777777" w:rsidR="008B3199" w:rsidRPr="00F10EFE" w:rsidRDefault="008B3199" w:rsidP="00F10EFE">
      <w:pPr>
        <w:rPr>
          <w:rFonts w:ascii="Verdana" w:hAnsi="Verdana" w:cs="Arial"/>
          <w:sz w:val="22"/>
          <w:szCs w:val="22"/>
        </w:rPr>
      </w:pPr>
    </w:p>
    <w:p w14:paraId="50C64923" w14:textId="77777777" w:rsidR="008B3199" w:rsidRPr="00F10EFE" w:rsidRDefault="008B3199" w:rsidP="00C42376">
      <w:pPr>
        <w:ind w:left="426"/>
        <w:rPr>
          <w:rFonts w:ascii="Verdana" w:hAnsi="Verdana" w:cs="Arial"/>
          <w:sz w:val="22"/>
          <w:szCs w:val="22"/>
        </w:rPr>
      </w:pPr>
      <w:r w:rsidRPr="00F10EFE">
        <w:rPr>
          <w:rFonts w:ascii="Verdana" w:hAnsi="Verdana" w:cs="Arial"/>
          <w:sz w:val="22"/>
          <w:szCs w:val="22"/>
        </w:rPr>
        <w:t>El proceso iterativo de deflactación se deberá agotar haciendo uso del formato GPV-F-31 Cálculo de la deflactación. Cabe resaltar que el índice de costos de construcción de vivienda (ICCV) se puede consultar año corrido en la página del Departamento Administrativo Nacional de Estadística (DANE) hasta el año 1990, razón por la cual, si la ocupación data de un año anterior, la deflactación se realizará solo hasta el año 1990.</w:t>
      </w:r>
    </w:p>
    <w:p w14:paraId="61F0AABD" w14:textId="77777777" w:rsidR="008B3199" w:rsidRPr="00F10EFE" w:rsidRDefault="008B3199" w:rsidP="00F10EFE">
      <w:pPr>
        <w:rPr>
          <w:rFonts w:ascii="Verdana" w:hAnsi="Verdana" w:cs="Arial"/>
          <w:sz w:val="22"/>
          <w:szCs w:val="22"/>
        </w:rPr>
      </w:pPr>
    </w:p>
    <w:p w14:paraId="68D30B7F" w14:textId="77777777" w:rsidR="008B3199" w:rsidRPr="00F10EFE" w:rsidRDefault="008B3199" w:rsidP="00C42376">
      <w:pPr>
        <w:ind w:left="426"/>
        <w:rPr>
          <w:rFonts w:ascii="Verdana" w:hAnsi="Verdana" w:cs="Arial"/>
          <w:sz w:val="22"/>
          <w:szCs w:val="22"/>
        </w:rPr>
      </w:pPr>
      <w:r w:rsidRPr="00F10EFE">
        <w:rPr>
          <w:rFonts w:ascii="Verdana" w:hAnsi="Verdana" w:cs="Arial"/>
          <w:sz w:val="22"/>
          <w:szCs w:val="22"/>
        </w:rPr>
        <w:t>La tabla de Excel No. 1 “Tabla para deflactar”, deberá ser actualizada anualmente y en ella se encontrarán las siguientes variables:</w:t>
      </w:r>
    </w:p>
    <w:p w14:paraId="036CE420" w14:textId="77777777" w:rsidR="008B3199" w:rsidRPr="00F10EFE" w:rsidRDefault="008B3199" w:rsidP="00F10EFE">
      <w:pPr>
        <w:rPr>
          <w:rFonts w:ascii="Verdana" w:hAnsi="Verdana" w:cs="Arial"/>
          <w:sz w:val="22"/>
          <w:szCs w:val="22"/>
        </w:rPr>
      </w:pPr>
    </w:p>
    <w:p w14:paraId="0D099B2D" w14:textId="77777777" w:rsidR="00C42376" w:rsidRDefault="008B3199" w:rsidP="00B863F1">
      <w:pPr>
        <w:pStyle w:val="Prrafodelista"/>
        <w:numPr>
          <w:ilvl w:val="0"/>
          <w:numId w:val="19"/>
        </w:numPr>
        <w:ind w:left="709" w:hanging="283"/>
        <w:rPr>
          <w:rFonts w:ascii="Verdana" w:hAnsi="Verdana" w:cs="Arial"/>
          <w:sz w:val="22"/>
          <w:szCs w:val="22"/>
        </w:rPr>
      </w:pPr>
      <w:r w:rsidRPr="00F10EFE">
        <w:rPr>
          <w:rFonts w:ascii="Verdana" w:hAnsi="Verdana" w:cs="Arial"/>
          <w:sz w:val="22"/>
          <w:szCs w:val="22"/>
        </w:rPr>
        <w:t>Año de la expedición del avalúo: es el año en que se elaboró el avalúo comercial.</w:t>
      </w:r>
    </w:p>
    <w:p w14:paraId="3661A1F8" w14:textId="77777777" w:rsidR="00C42376" w:rsidRDefault="008B3199" w:rsidP="00B863F1">
      <w:pPr>
        <w:pStyle w:val="Prrafodelista"/>
        <w:numPr>
          <w:ilvl w:val="0"/>
          <w:numId w:val="19"/>
        </w:numPr>
        <w:ind w:left="709" w:hanging="283"/>
        <w:rPr>
          <w:rFonts w:ascii="Verdana" w:hAnsi="Verdana" w:cs="Arial"/>
          <w:sz w:val="22"/>
          <w:szCs w:val="22"/>
        </w:rPr>
      </w:pPr>
      <w:r w:rsidRPr="00C42376">
        <w:rPr>
          <w:rFonts w:ascii="Verdana" w:hAnsi="Verdana" w:cs="Arial"/>
          <w:sz w:val="22"/>
          <w:szCs w:val="22"/>
        </w:rPr>
        <w:lastRenderedPageBreak/>
        <w:t>Valor del Avalúo comercial: allí se debe ingresar el valor total del avalúo (Terreno + Construcción).</w:t>
      </w:r>
    </w:p>
    <w:p w14:paraId="03011E25" w14:textId="77777777" w:rsidR="00C42376" w:rsidRDefault="008B3199" w:rsidP="00B863F1">
      <w:pPr>
        <w:pStyle w:val="Prrafodelista"/>
        <w:numPr>
          <w:ilvl w:val="0"/>
          <w:numId w:val="19"/>
        </w:numPr>
        <w:ind w:left="709" w:hanging="283"/>
        <w:rPr>
          <w:rFonts w:ascii="Verdana" w:hAnsi="Verdana" w:cs="Arial"/>
          <w:sz w:val="22"/>
          <w:szCs w:val="22"/>
        </w:rPr>
      </w:pPr>
      <w:r w:rsidRPr="00C42376">
        <w:rPr>
          <w:rFonts w:ascii="Verdana" w:hAnsi="Verdana" w:cs="Arial"/>
          <w:sz w:val="22"/>
          <w:szCs w:val="22"/>
        </w:rPr>
        <w:t>Año de la ocupación: el año de ocupación podrá seleccionarse de la lista desplegable en donde se encuentran los años disponibles.</w:t>
      </w:r>
    </w:p>
    <w:p w14:paraId="5D5FE64C" w14:textId="16F9AA25" w:rsidR="008B3199" w:rsidRPr="00C42376" w:rsidRDefault="008B3199" w:rsidP="00B863F1">
      <w:pPr>
        <w:pStyle w:val="Prrafodelista"/>
        <w:numPr>
          <w:ilvl w:val="0"/>
          <w:numId w:val="19"/>
        </w:numPr>
        <w:ind w:left="709" w:hanging="283"/>
        <w:rPr>
          <w:rFonts w:ascii="Verdana" w:hAnsi="Verdana" w:cs="Arial"/>
          <w:sz w:val="22"/>
          <w:szCs w:val="22"/>
        </w:rPr>
      </w:pPr>
      <w:r w:rsidRPr="00C42376">
        <w:rPr>
          <w:rFonts w:ascii="Verdana" w:hAnsi="Verdana" w:cs="Arial"/>
          <w:sz w:val="22"/>
          <w:szCs w:val="22"/>
        </w:rPr>
        <w:t>Valor del avalúo a la fecha de ocupación: es el valor de la vivienda llevado a pesos a la fecha de ocupación o hasta 1990.</w:t>
      </w:r>
    </w:p>
    <w:p w14:paraId="4312CE85" w14:textId="77777777" w:rsidR="008B3199" w:rsidRPr="00F10EFE" w:rsidRDefault="008B3199" w:rsidP="00F10EFE">
      <w:pPr>
        <w:rPr>
          <w:rFonts w:ascii="Verdana" w:hAnsi="Verdana" w:cs="Arial"/>
          <w:sz w:val="22"/>
          <w:szCs w:val="22"/>
        </w:rPr>
      </w:pPr>
    </w:p>
    <w:p w14:paraId="4389A726" w14:textId="77777777" w:rsidR="008B3199" w:rsidRPr="00F10EFE" w:rsidRDefault="008B3199" w:rsidP="00F10EFE">
      <w:pPr>
        <w:rPr>
          <w:rFonts w:ascii="Verdana" w:hAnsi="Verdana" w:cs="Arial"/>
          <w:sz w:val="22"/>
          <w:szCs w:val="22"/>
        </w:rPr>
      </w:pPr>
      <w:r w:rsidRPr="00F10EFE">
        <w:rPr>
          <w:rFonts w:ascii="Verdana" w:hAnsi="Verdana" w:cs="Arial"/>
          <w:sz w:val="22"/>
          <w:szCs w:val="22"/>
        </w:rPr>
        <w:t>Un ejemplo de la aplicación y uso de la tabla de Excel, para los fines del Ministerio, es:</w:t>
      </w:r>
    </w:p>
    <w:p w14:paraId="12DE26B0" w14:textId="77777777" w:rsidR="008B3199" w:rsidRPr="00F10EFE" w:rsidRDefault="008B3199" w:rsidP="00F10EFE">
      <w:pPr>
        <w:rPr>
          <w:rFonts w:ascii="Verdana" w:hAnsi="Verdana" w:cs="Arial"/>
          <w:sz w:val="22"/>
          <w:szCs w:val="22"/>
        </w:rPr>
      </w:pPr>
    </w:p>
    <w:p w14:paraId="6F7EE528" w14:textId="77777777" w:rsidR="008B3199" w:rsidRDefault="008B3199" w:rsidP="00F10EFE">
      <w:pPr>
        <w:rPr>
          <w:rFonts w:ascii="Verdana" w:hAnsi="Verdana" w:cs="Arial"/>
          <w:i/>
          <w:sz w:val="22"/>
          <w:szCs w:val="22"/>
        </w:rPr>
      </w:pPr>
      <w:r w:rsidRPr="00F10EFE">
        <w:rPr>
          <w:rFonts w:ascii="Verdana" w:hAnsi="Verdana" w:cs="Arial"/>
          <w:i/>
          <w:sz w:val="22"/>
          <w:szCs w:val="22"/>
        </w:rPr>
        <w:t>Una persona presenta un avalúo con vigencia del 2016 con un valor de $180’000.000 de pesos. Conforme al estudio jurídico de viabilidad la ocupación es acreditada desde el año 1993, entonces se ingresan los valores en la tabla, así:</w:t>
      </w:r>
    </w:p>
    <w:p w14:paraId="34E615BF" w14:textId="77777777" w:rsidR="00C42376" w:rsidRPr="00F10EFE" w:rsidRDefault="00C42376" w:rsidP="00F10EFE">
      <w:pPr>
        <w:rPr>
          <w:rFonts w:ascii="Verdana" w:hAnsi="Verdana" w:cs="Arial"/>
          <w:i/>
          <w:sz w:val="22"/>
          <w:szCs w:val="22"/>
        </w:rPr>
      </w:pPr>
    </w:p>
    <w:p w14:paraId="56B579A2" w14:textId="02358848" w:rsidR="008B3199" w:rsidRPr="00F10EFE" w:rsidRDefault="008B3199" w:rsidP="00C42376">
      <w:pPr>
        <w:jc w:val="center"/>
        <w:rPr>
          <w:rFonts w:ascii="Verdana" w:hAnsi="Verdana" w:cs="Arial"/>
          <w:sz w:val="22"/>
          <w:szCs w:val="22"/>
        </w:rPr>
      </w:pPr>
      <w:r w:rsidRPr="00F10EFE">
        <w:rPr>
          <w:rFonts w:ascii="Verdana" w:hAnsi="Verdana" w:cs="Arial"/>
          <w:noProof/>
          <w:sz w:val="22"/>
          <w:szCs w:val="22"/>
          <w:lang w:eastAsia="es-CO"/>
        </w:rPr>
        <w:drawing>
          <wp:inline distT="0" distB="0" distL="0" distR="0" wp14:anchorId="6C29B75A" wp14:editId="3670A66B">
            <wp:extent cx="5006472" cy="1892048"/>
            <wp:effectExtent l="63500" t="63500" r="124460" b="127635"/>
            <wp:docPr id="540452769" name="Imagen 5" descr="Tabla&#10;&#10;Descripción generada automáticamente"/>
            <wp:cNvGraphicFramePr/>
            <a:graphic xmlns:a="http://schemas.openxmlformats.org/drawingml/2006/main">
              <a:graphicData uri="http://schemas.openxmlformats.org/drawingml/2006/picture">
                <pic:pic xmlns:pic="http://schemas.openxmlformats.org/drawingml/2006/picture">
                  <pic:nvPicPr>
                    <pic:cNvPr id="540452769" name="Imagen 5" descr="Tabla&#10;&#10;Descripción generada automáticamente"/>
                    <pic:cNvPicPr>
                      <a:picLocks noChangeAspect="1"/>
                    </pic:cNvPicPr>
                  </pic:nvPicPr>
                  <pic:blipFill rotWithShape="1">
                    <a:blip r:embed="rId11">
                      <a:extLst>
                        <a:ext uri="{28A0092B-C50C-407E-A947-70E740481C1C}">
                          <a14:useLocalDpi xmlns:a14="http://schemas.microsoft.com/office/drawing/2010/main" val="0"/>
                        </a:ext>
                      </a:extLst>
                    </a:blip>
                    <a:srcRect l="2428" t="4426" r="11470" b="16748"/>
                    <a:stretch/>
                  </pic:blipFill>
                  <pic:spPr bwMode="auto">
                    <a:xfrm>
                      <a:off x="0" y="0"/>
                      <a:ext cx="4868418" cy="183987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0B081CE3" w14:textId="77777777" w:rsidR="008B3199" w:rsidRPr="00C42376" w:rsidRDefault="008B3199" w:rsidP="00C42376">
      <w:pPr>
        <w:jc w:val="center"/>
        <w:rPr>
          <w:rFonts w:ascii="Verdana" w:hAnsi="Verdana" w:cs="Arial"/>
          <w:i/>
          <w:sz w:val="20"/>
        </w:rPr>
      </w:pPr>
      <w:r w:rsidRPr="00C42376">
        <w:rPr>
          <w:rFonts w:ascii="Verdana" w:hAnsi="Verdana" w:cs="Arial"/>
          <w:i/>
          <w:sz w:val="20"/>
        </w:rPr>
        <w:t>Fuente: tabla disponible en la documentación del proceso de titulación y saneamiento predial (por generar formato).</w:t>
      </w:r>
    </w:p>
    <w:p w14:paraId="5148EC8E" w14:textId="77777777" w:rsidR="008B3199" w:rsidRPr="00F10EFE" w:rsidRDefault="008B3199" w:rsidP="00F10EFE">
      <w:pPr>
        <w:rPr>
          <w:rFonts w:ascii="Verdana" w:hAnsi="Verdana" w:cs="Arial"/>
          <w:i/>
          <w:sz w:val="22"/>
          <w:szCs w:val="22"/>
        </w:rPr>
      </w:pPr>
    </w:p>
    <w:p w14:paraId="75A7F759" w14:textId="77777777" w:rsidR="008B3199" w:rsidRPr="00F10EFE" w:rsidRDefault="008B3199" w:rsidP="00F10EFE">
      <w:pPr>
        <w:rPr>
          <w:rFonts w:ascii="Verdana" w:hAnsi="Verdana" w:cs="Arial"/>
          <w:i/>
          <w:sz w:val="22"/>
          <w:szCs w:val="22"/>
        </w:rPr>
      </w:pPr>
      <w:r w:rsidRPr="00F10EFE">
        <w:rPr>
          <w:rFonts w:ascii="Verdana" w:hAnsi="Verdana" w:cs="Arial"/>
          <w:i/>
          <w:sz w:val="22"/>
          <w:szCs w:val="22"/>
        </w:rPr>
        <w:t xml:space="preserve">La tabla realiza el cálculo, dando como resultado que el valor de la vivienda en ese año de la ocupación es de $ 18’952.577 pesos. </w:t>
      </w:r>
    </w:p>
    <w:p w14:paraId="47C90386" w14:textId="77777777" w:rsidR="008B3199" w:rsidRPr="00F10EFE" w:rsidRDefault="008B3199" w:rsidP="00F10EFE">
      <w:pPr>
        <w:rPr>
          <w:rFonts w:ascii="Verdana" w:hAnsi="Verdana" w:cs="Arial"/>
          <w:i/>
          <w:sz w:val="22"/>
          <w:szCs w:val="22"/>
        </w:rPr>
      </w:pPr>
    </w:p>
    <w:p w14:paraId="0598FEA1" w14:textId="77777777" w:rsidR="008B3199" w:rsidRPr="00F10EFE" w:rsidRDefault="008B3199" w:rsidP="00F10EFE">
      <w:pPr>
        <w:rPr>
          <w:rFonts w:ascii="Verdana" w:hAnsi="Verdana" w:cs="Arial"/>
          <w:i/>
          <w:sz w:val="22"/>
          <w:szCs w:val="22"/>
        </w:rPr>
      </w:pPr>
      <w:r w:rsidRPr="00F10EFE">
        <w:rPr>
          <w:rFonts w:ascii="Verdana" w:hAnsi="Verdana" w:cs="Arial"/>
          <w:i/>
          <w:sz w:val="22"/>
          <w:szCs w:val="22"/>
        </w:rPr>
        <w:t>Luego se efectúa la comparación con el valor VIS vigente, en este caso, si el año vigente es 2018, el valor tope VIS es 105’467.670. De acuerdo con lo anterior, la vivienda es VIS.</w:t>
      </w:r>
    </w:p>
    <w:p w14:paraId="596D1CE3" w14:textId="77777777" w:rsidR="008B3199" w:rsidRPr="00F10EFE" w:rsidRDefault="008B3199" w:rsidP="00F10EFE">
      <w:pPr>
        <w:rPr>
          <w:rFonts w:ascii="Verdana" w:hAnsi="Verdana" w:cs="Arial"/>
          <w:sz w:val="22"/>
          <w:szCs w:val="22"/>
        </w:rPr>
      </w:pPr>
    </w:p>
    <w:p w14:paraId="49FA055C" w14:textId="77777777" w:rsidR="008B3199" w:rsidRPr="00F10EFE" w:rsidRDefault="008B3199" w:rsidP="00F10EFE">
      <w:pPr>
        <w:rPr>
          <w:rFonts w:ascii="Verdana" w:hAnsi="Verdana" w:cs="Arial"/>
          <w:sz w:val="22"/>
          <w:szCs w:val="22"/>
        </w:rPr>
      </w:pPr>
      <w:r w:rsidRPr="00F10EFE">
        <w:rPr>
          <w:rFonts w:ascii="Verdana" w:hAnsi="Verdana" w:cs="Arial"/>
          <w:sz w:val="22"/>
          <w:szCs w:val="22"/>
        </w:rPr>
        <w:t>Ahora bien, el estudio de viabilidad técnica se diligencia conforme a lo siguiente:</w:t>
      </w:r>
    </w:p>
    <w:p w14:paraId="17AC6C8C" w14:textId="77777777" w:rsidR="008B3199" w:rsidRPr="00F10EFE" w:rsidRDefault="008B3199" w:rsidP="00F10EFE">
      <w:pPr>
        <w:rPr>
          <w:rFonts w:ascii="Verdana" w:hAnsi="Verdana" w:cs="Arial"/>
          <w:sz w:val="22"/>
          <w:szCs w:val="22"/>
        </w:rPr>
      </w:pPr>
    </w:p>
    <w:p w14:paraId="4CCCED55" w14:textId="77777777" w:rsidR="008B3199" w:rsidRPr="00F10EFE" w:rsidRDefault="008B3199" w:rsidP="00B863F1">
      <w:pPr>
        <w:pStyle w:val="Prrafodelista"/>
        <w:numPr>
          <w:ilvl w:val="0"/>
          <w:numId w:val="20"/>
        </w:numPr>
        <w:tabs>
          <w:tab w:val="left" w:pos="426"/>
        </w:tabs>
        <w:ind w:left="993" w:hanging="426"/>
        <w:rPr>
          <w:rFonts w:ascii="Verdana" w:hAnsi="Verdana" w:cs="Arial"/>
          <w:sz w:val="22"/>
          <w:szCs w:val="22"/>
        </w:rPr>
      </w:pPr>
      <w:r w:rsidRPr="00F10EFE">
        <w:rPr>
          <w:rFonts w:ascii="Verdana" w:hAnsi="Verdana" w:cs="Arial"/>
          <w:sz w:val="22"/>
          <w:szCs w:val="22"/>
        </w:rPr>
        <w:t>Fecha de expedición del avalúo: es el año en que se realizó el avalúo comercial.</w:t>
      </w:r>
    </w:p>
    <w:p w14:paraId="6CB9B1BD" w14:textId="77777777" w:rsidR="008B3199" w:rsidRPr="00F10EFE" w:rsidRDefault="008B3199" w:rsidP="00B863F1">
      <w:pPr>
        <w:pStyle w:val="Prrafodelista"/>
        <w:numPr>
          <w:ilvl w:val="0"/>
          <w:numId w:val="20"/>
        </w:numPr>
        <w:tabs>
          <w:tab w:val="left" w:pos="426"/>
        </w:tabs>
        <w:ind w:left="993" w:hanging="426"/>
        <w:rPr>
          <w:rFonts w:ascii="Verdana" w:hAnsi="Verdana" w:cs="Arial"/>
          <w:sz w:val="22"/>
          <w:szCs w:val="22"/>
        </w:rPr>
      </w:pPr>
      <w:r w:rsidRPr="00F10EFE">
        <w:rPr>
          <w:rFonts w:ascii="Verdana" w:hAnsi="Verdana" w:cs="Arial"/>
          <w:sz w:val="22"/>
          <w:szCs w:val="22"/>
        </w:rPr>
        <w:lastRenderedPageBreak/>
        <w:t>Entidad o persona que emite el avalúo: perito acreditado con el Registro Abierto Avaluadores (RAA) vigente, lonja o entidad facultada para practicar un avalúo.</w:t>
      </w:r>
    </w:p>
    <w:p w14:paraId="2AE49407" w14:textId="77777777" w:rsidR="008B3199" w:rsidRPr="00F10EFE" w:rsidRDefault="008B3199" w:rsidP="00B863F1">
      <w:pPr>
        <w:pStyle w:val="Prrafodelista"/>
        <w:numPr>
          <w:ilvl w:val="0"/>
          <w:numId w:val="20"/>
        </w:numPr>
        <w:tabs>
          <w:tab w:val="left" w:pos="426"/>
        </w:tabs>
        <w:ind w:left="993" w:hanging="426"/>
        <w:rPr>
          <w:rFonts w:ascii="Verdana" w:hAnsi="Verdana" w:cs="Arial"/>
          <w:sz w:val="22"/>
          <w:szCs w:val="22"/>
        </w:rPr>
      </w:pPr>
      <w:r w:rsidRPr="00F10EFE">
        <w:rPr>
          <w:rFonts w:ascii="Verdana" w:hAnsi="Verdana" w:cs="Arial"/>
          <w:sz w:val="22"/>
          <w:szCs w:val="22"/>
        </w:rPr>
        <w:t>Valor comercial del Inmueble: valor total del avalúo comercial (Terreno + Construcción).</w:t>
      </w:r>
    </w:p>
    <w:p w14:paraId="1E0F8778" w14:textId="77777777" w:rsidR="008B3199" w:rsidRPr="00F10EFE" w:rsidRDefault="008B3199" w:rsidP="00B863F1">
      <w:pPr>
        <w:pStyle w:val="Prrafodelista"/>
        <w:numPr>
          <w:ilvl w:val="0"/>
          <w:numId w:val="20"/>
        </w:numPr>
        <w:tabs>
          <w:tab w:val="left" w:pos="426"/>
        </w:tabs>
        <w:ind w:left="993" w:hanging="426"/>
        <w:rPr>
          <w:rFonts w:ascii="Verdana" w:hAnsi="Verdana" w:cs="Arial"/>
          <w:sz w:val="22"/>
          <w:szCs w:val="22"/>
        </w:rPr>
      </w:pPr>
      <w:r w:rsidRPr="00F10EFE">
        <w:rPr>
          <w:rFonts w:ascii="Verdana" w:hAnsi="Verdana" w:cs="Arial"/>
          <w:sz w:val="22"/>
          <w:szCs w:val="22"/>
        </w:rPr>
        <w:t>Valor tope vivienda de interés social (VIS): Es el valor VIS vigente para la fecha en que se hace el estudio de viabilidad técnica.</w:t>
      </w:r>
    </w:p>
    <w:p w14:paraId="54CCBF8A" w14:textId="77777777" w:rsidR="008B3199" w:rsidRPr="00F10EFE" w:rsidRDefault="008B3199" w:rsidP="00B863F1">
      <w:pPr>
        <w:pStyle w:val="Prrafodelista"/>
        <w:numPr>
          <w:ilvl w:val="0"/>
          <w:numId w:val="20"/>
        </w:numPr>
        <w:tabs>
          <w:tab w:val="left" w:pos="426"/>
        </w:tabs>
        <w:ind w:left="993" w:hanging="426"/>
        <w:rPr>
          <w:rFonts w:ascii="Verdana" w:hAnsi="Verdana" w:cs="Arial"/>
          <w:sz w:val="22"/>
          <w:szCs w:val="22"/>
        </w:rPr>
      </w:pPr>
      <w:r w:rsidRPr="00F10EFE">
        <w:rPr>
          <w:rFonts w:ascii="Verdana" w:hAnsi="Verdana" w:cs="Arial"/>
          <w:sz w:val="22"/>
          <w:szCs w:val="22"/>
        </w:rPr>
        <w:t>Año de referencia VIS: Es el año en que se realiza el estudio de viabilidad técnica.</w:t>
      </w:r>
    </w:p>
    <w:p w14:paraId="4DDCECC5" w14:textId="77777777" w:rsidR="008B3199" w:rsidRPr="00F10EFE" w:rsidRDefault="008B3199" w:rsidP="00B863F1">
      <w:pPr>
        <w:pStyle w:val="Prrafodelista"/>
        <w:numPr>
          <w:ilvl w:val="0"/>
          <w:numId w:val="20"/>
        </w:numPr>
        <w:tabs>
          <w:tab w:val="left" w:pos="426"/>
        </w:tabs>
        <w:ind w:left="993" w:hanging="426"/>
        <w:rPr>
          <w:rFonts w:ascii="Verdana" w:hAnsi="Verdana" w:cs="Arial"/>
          <w:sz w:val="22"/>
          <w:szCs w:val="22"/>
        </w:rPr>
      </w:pPr>
      <w:r w:rsidRPr="00F10EFE">
        <w:rPr>
          <w:rFonts w:ascii="Verdana" w:hAnsi="Verdana" w:cs="Arial"/>
          <w:sz w:val="22"/>
          <w:szCs w:val="22"/>
        </w:rPr>
        <w:t xml:space="preserve">Fecha de ocupación: es el año que el solicitante acredita como fecha inicial de ocupación del bien inmueble. </w:t>
      </w:r>
    </w:p>
    <w:p w14:paraId="2F742107" w14:textId="77777777" w:rsidR="008B3199" w:rsidRPr="00F10EFE" w:rsidRDefault="008B3199" w:rsidP="00B863F1">
      <w:pPr>
        <w:pStyle w:val="Prrafodelista"/>
        <w:numPr>
          <w:ilvl w:val="0"/>
          <w:numId w:val="20"/>
        </w:numPr>
        <w:tabs>
          <w:tab w:val="left" w:pos="426"/>
        </w:tabs>
        <w:ind w:left="993" w:hanging="426"/>
        <w:rPr>
          <w:rFonts w:ascii="Verdana" w:hAnsi="Verdana" w:cs="Arial"/>
          <w:sz w:val="22"/>
          <w:szCs w:val="22"/>
        </w:rPr>
      </w:pPr>
      <w:r w:rsidRPr="00F10EFE">
        <w:rPr>
          <w:rFonts w:ascii="Verdana" w:hAnsi="Verdana" w:cs="Arial"/>
          <w:sz w:val="22"/>
          <w:szCs w:val="22"/>
        </w:rPr>
        <w:t>Fecha base para la deflactación del avalúo: año al que se lleva el valor de la vivienda, puede o no coincidir con la fecha de ocupación. Para ocupaciones anteriores al año 1990, se tomará este año para la deflactación.</w:t>
      </w:r>
    </w:p>
    <w:p w14:paraId="1523CCC2" w14:textId="77777777" w:rsidR="008B3199" w:rsidRPr="00F10EFE" w:rsidRDefault="008B3199" w:rsidP="00B863F1">
      <w:pPr>
        <w:pStyle w:val="Prrafodelista"/>
        <w:numPr>
          <w:ilvl w:val="0"/>
          <w:numId w:val="20"/>
        </w:numPr>
        <w:tabs>
          <w:tab w:val="left" w:pos="426"/>
        </w:tabs>
        <w:ind w:left="993" w:hanging="426"/>
        <w:rPr>
          <w:rFonts w:ascii="Verdana" w:hAnsi="Verdana" w:cs="Arial"/>
          <w:sz w:val="22"/>
          <w:szCs w:val="22"/>
        </w:rPr>
      </w:pPr>
      <w:r w:rsidRPr="00F10EFE">
        <w:rPr>
          <w:rFonts w:ascii="Verdana" w:hAnsi="Verdana" w:cs="Arial"/>
          <w:sz w:val="22"/>
          <w:szCs w:val="22"/>
        </w:rPr>
        <w:t>Valor del avalúo deflactado: resultado de la deflactación.</w:t>
      </w:r>
    </w:p>
    <w:p w14:paraId="1972DF55" w14:textId="77777777" w:rsidR="008B3199" w:rsidRDefault="008B3199" w:rsidP="00B863F1">
      <w:pPr>
        <w:pStyle w:val="Prrafodelista"/>
        <w:numPr>
          <w:ilvl w:val="0"/>
          <w:numId w:val="20"/>
        </w:numPr>
        <w:tabs>
          <w:tab w:val="left" w:pos="426"/>
        </w:tabs>
        <w:ind w:left="993" w:hanging="426"/>
        <w:rPr>
          <w:rFonts w:ascii="Verdana" w:hAnsi="Verdana" w:cs="Arial"/>
          <w:sz w:val="22"/>
          <w:szCs w:val="22"/>
        </w:rPr>
      </w:pPr>
      <w:r w:rsidRPr="00F10EFE">
        <w:rPr>
          <w:rFonts w:ascii="Verdana" w:hAnsi="Verdana" w:cs="Arial"/>
          <w:sz w:val="22"/>
          <w:szCs w:val="22"/>
        </w:rPr>
        <w:t>¿El inmueble tiene carácter de VIS?: se marca con una “X” o se rellena la respuesta “SI” o “NO”. Será “SI, en el caso de que la vivienda esté bajo el tope VIS del campo “Año de referencia VIS”.</w:t>
      </w:r>
    </w:p>
    <w:p w14:paraId="2B619619" w14:textId="77777777" w:rsidR="00C42376" w:rsidRPr="00F10EFE" w:rsidRDefault="00C42376" w:rsidP="00C42376">
      <w:pPr>
        <w:pStyle w:val="Prrafodelista"/>
        <w:tabs>
          <w:tab w:val="left" w:pos="426"/>
        </w:tabs>
        <w:ind w:left="993"/>
        <w:rPr>
          <w:rFonts w:ascii="Verdana" w:hAnsi="Verdana" w:cs="Arial"/>
          <w:sz w:val="22"/>
          <w:szCs w:val="22"/>
        </w:rPr>
      </w:pPr>
    </w:p>
    <w:p w14:paraId="66EE83D6" w14:textId="77777777" w:rsidR="008B3199" w:rsidRPr="00F10EFE" w:rsidRDefault="008B3199" w:rsidP="00F10EFE">
      <w:pPr>
        <w:rPr>
          <w:rFonts w:ascii="Verdana" w:hAnsi="Verdana" w:cs="Arial"/>
          <w:b/>
          <w:sz w:val="22"/>
          <w:szCs w:val="22"/>
        </w:rPr>
      </w:pPr>
      <w:r w:rsidRPr="00F10EFE">
        <w:rPr>
          <w:rFonts w:ascii="Verdana" w:hAnsi="Verdana" w:cs="Arial"/>
          <w:b/>
          <w:sz w:val="22"/>
          <w:szCs w:val="22"/>
        </w:rPr>
        <w:t xml:space="preserve">Observaciones: </w:t>
      </w:r>
      <w:r w:rsidRPr="00F10EFE">
        <w:rPr>
          <w:rFonts w:ascii="Verdana" w:hAnsi="Verdana" w:cs="Arial"/>
          <w:sz w:val="22"/>
          <w:szCs w:val="22"/>
        </w:rPr>
        <w:t>Las que el profesional considere oportunas, relacionadas esta sección.</w:t>
      </w:r>
    </w:p>
    <w:p w14:paraId="67449F47" w14:textId="77777777" w:rsidR="008B3199" w:rsidRPr="00F10EFE" w:rsidRDefault="008B3199" w:rsidP="00F10EFE">
      <w:pPr>
        <w:rPr>
          <w:rFonts w:ascii="Verdana" w:hAnsi="Verdana" w:cs="Arial"/>
          <w:sz w:val="22"/>
          <w:szCs w:val="22"/>
        </w:rPr>
      </w:pPr>
    </w:p>
    <w:p w14:paraId="475E47D4" w14:textId="77777777" w:rsidR="008B3199" w:rsidRPr="00F10EFE" w:rsidRDefault="008B3199" w:rsidP="00C42376">
      <w:pPr>
        <w:pStyle w:val="Subttulo"/>
        <w:numPr>
          <w:ilvl w:val="0"/>
          <w:numId w:val="0"/>
        </w:numPr>
        <w:spacing w:after="0"/>
        <w:rPr>
          <w:rFonts w:ascii="Verdana" w:hAnsi="Verdana"/>
          <w:sz w:val="22"/>
          <w:szCs w:val="22"/>
        </w:rPr>
      </w:pPr>
      <w:bookmarkStart w:id="5" w:name="_Toc531360104"/>
      <w:r w:rsidRPr="00F10EFE">
        <w:rPr>
          <w:rFonts w:ascii="Verdana" w:hAnsi="Verdana"/>
          <w:sz w:val="22"/>
          <w:szCs w:val="22"/>
        </w:rPr>
        <w:t>SECCIÓN 6: CERTIFICADO USO DEL SUELO Y RIESGO EXPEDIDO POR LA ENTIDAD TERRITORIAL</w:t>
      </w:r>
      <w:bookmarkEnd w:id="5"/>
    </w:p>
    <w:p w14:paraId="06F67300" w14:textId="77777777" w:rsidR="008B3199" w:rsidRPr="00F10EFE" w:rsidRDefault="008B3199" w:rsidP="00F10EFE">
      <w:pPr>
        <w:rPr>
          <w:rFonts w:ascii="Verdana" w:hAnsi="Verdana" w:cs="Arial"/>
          <w:sz w:val="22"/>
          <w:szCs w:val="22"/>
        </w:rPr>
      </w:pPr>
    </w:p>
    <w:p w14:paraId="37A67874"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 xml:space="preserve">Usos del Suelo Permitido(s) según certificado emitido por la entidad territorial: </w:t>
      </w:r>
      <w:r w:rsidRPr="00F10EFE">
        <w:rPr>
          <w:rFonts w:cs="Arial"/>
          <w:color w:val="auto"/>
          <w:sz w:val="22"/>
          <w:szCs w:val="22"/>
        </w:rPr>
        <w:t>El uso del suelo es establecido por la norma urbanística en los Planes de Ordenamiento Territorial, Esquemas o Planes Básicos vigentes de cada municipio o distrito.</w:t>
      </w:r>
    </w:p>
    <w:p w14:paraId="0867CF7D" w14:textId="77777777" w:rsidR="008B3199" w:rsidRPr="00F10EFE" w:rsidRDefault="008B3199" w:rsidP="00F10EFE">
      <w:pPr>
        <w:rPr>
          <w:rFonts w:ascii="Verdana" w:hAnsi="Verdana" w:cs="Arial"/>
          <w:sz w:val="22"/>
          <w:szCs w:val="22"/>
        </w:rPr>
      </w:pPr>
    </w:p>
    <w:p w14:paraId="118F9D9E"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Para efectos de determinar el uso del suelo del predio objeto de estudio, se tendrán en cuenta las certificaciones expedidas por el ente territorial, a través del funcionario competente. Ejemplo, secretarías de planeación o quien haga sus veces. </w:t>
      </w:r>
    </w:p>
    <w:p w14:paraId="4D9E7A82" w14:textId="77777777" w:rsidR="008B3199" w:rsidRPr="00F10EFE" w:rsidRDefault="008B3199" w:rsidP="00F10EFE">
      <w:pPr>
        <w:rPr>
          <w:rFonts w:ascii="Verdana" w:hAnsi="Verdana" w:cs="Arial"/>
          <w:sz w:val="22"/>
          <w:szCs w:val="22"/>
        </w:rPr>
      </w:pPr>
    </w:p>
    <w:p w14:paraId="53CEAB56" w14:textId="77777777" w:rsidR="008B3199" w:rsidRPr="00F10EFE" w:rsidRDefault="008B3199" w:rsidP="00F10EFE">
      <w:pPr>
        <w:rPr>
          <w:rFonts w:ascii="Verdana" w:hAnsi="Verdana" w:cs="Arial"/>
          <w:sz w:val="22"/>
          <w:szCs w:val="22"/>
        </w:rPr>
      </w:pPr>
      <w:r w:rsidRPr="00F10EFE">
        <w:rPr>
          <w:rFonts w:ascii="Verdana" w:hAnsi="Verdana" w:cs="Arial"/>
          <w:b/>
          <w:sz w:val="22"/>
          <w:szCs w:val="22"/>
        </w:rPr>
        <w:t>Nota 1:</w:t>
      </w:r>
      <w:r w:rsidRPr="00F10EFE">
        <w:rPr>
          <w:rFonts w:ascii="Verdana" w:hAnsi="Verdana" w:cs="Arial"/>
          <w:sz w:val="22"/>
          <w:szCs w:val="22"/>
        </w:rPr>
        <w:t xml:space="preserve"> Las curadurías urbanas no están facultadas para “certificar” la norma sino para “conceptuar” sobre ella, por lo tanto, los conceptos emitidos por las curadurías urbanas no son la fuente vinculante para la elaboración del estudio de viabilidad técnica.</w:t>
      </w:r>
    </w:p>
    <w:p w14:paraId="3A8FE17A" w14:textId="77777777" w:rsidR="008B3199" w:rsidRPr="00F10EFE" w:rsidRDefault="008B3199" w:rsidP="00F10EFE">
      <w:pPr>
        <w:pStyle w:val="Sinespaciado"/>
        <w:ind w:left="0"/>
        <w:rPr>
          <w:rFonts w:cs="Arial"/>
          <w:color w:val="auto"/>
          <w:sz w:val="22"/>
          <w:szCs w:val="22"/>
        </w:rPr>
      </w:pPr>
    </w:p>
    <w:p w14:paraId="26BCA27E" w14:textId="7B8A57A2" w:rsidR="008B3199" w:rsidRPr="00F10EFE" w:rsidRDefault="008B3199" w:rsidP="00F10EFE">
      <w:pPr>
        <w:rPr>
          <w:rFonts w:ascii="Verdana" w:hAnsi="Verdana" w:cs="Arial"/>
          <w:sz w:val="22"/>
          <w:szCs w:val="22"/>
        </w:rPr>
      </w:pPr>
      <w:r w:rsidRPr="00F10EFE">
        <w:rPr>
          <w:rFonts w:ascii="Verdana" w:hAnsi="Verdana" w:cs="Arial"/>
          <w:b/>
          <w:sz w:val="22"/>
          <w:szCs w:val="22"/>
        </w:rPr>
        <w:t>Nota 2:</w:t>
      </w:r>
      <w:r w:rsidRPr="00F10EFE">
        <w:rPr>
          <w:rFonts w:ascii="Verdana" w:hAnsi="Verdana" w:cs="Arial"/>
          <w:sz w:val="22"/>
          <w:szCs w:val="22"/>
        </w:rPr>
        <w:t xml:space="preserve"> Las certificaciones de uso, deben ser expedidas en el marco del plan de ordenamiento municipal o distrital vigente.</w:t>
      </w:r>
    </w:p>
    <w:p w14:paraId="2DB27E9C" w14:textId="77777777" w:rsidR="008B3199" w:rsidRPr="00F10EFE" w:rsidRDefault="008B3199" w:rsidP="00F10EFE">
      <w:pPr>
        <w:rPr>
          <w:rFonts w:ascii="Verdana" w:hAnsi="Verdana" w:cs="Arial"/>
          <w:sz w:val="22"/>
          <w:szCs w:val="22"/>
        </w:rPr>
      </w:pPr>
      <w:r w:rsidRPr="00F10EFE">
        <w:rPr>
          <w:rFonts w:ascii="Verdana" w:hAnsi="Verdana" w:cs="Arial"/>
          <w:b/>
          <w:sz w:val="22"/>
          <w:szCs w:val="22"/>
        </w:rPr>
        <w:lastRenderedPageBreak/>
        <w:t>Nota 3:</w:t>
      </w:r>
      <w:r w:rsidRPr="00F10EFE">
        <w:rPr>
          <w:rFonts w:ascii="Verdana" w:hAnsi="Verdana" w:cs="Arial"/>
          <w:sz w:val="22"/>
          <w:szCs w:val="22"/>
        </w:rPr>
        <w:t xml:space="preserve"> Se debe tener en cuenta que dentro de los usos principales y complementarios, se valida que al menos en uno de ellos se contemple el residencial. </w:t>
      </w:r>
    </w:p>
    <w:p w14:paraId="33B00169" w14:textId="77777777" w:rsidR="008B3199" w:rsidRPr="00F10EFE" w:rsidRDefault="008B3199" w:rsidP="00F10EFE">
      <w:pPr>
        <w:pStyle w:val="Sinespaciado"/>
        <w:ind w:left="0"/>
        <w:rPr>
          <w:rFonts w:cs="Arial"/>
          <w:color w:val="auto"/>
          <w:sz w:val="22"/>
          <w:szCs w:val="22"/>
        </w:rPr>
      </w:pPr>
    </w:p>
    <w:p w14:paraId="0232F1B7"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Número de Certificado:</w:t>
      </w:r>
      <w:r w:rsidRPr="00F10EFE">
        <w:rPr>
          <w:rFonts w:cs="Arial"/>
          <w:color w:val="auto"/>
          <w:sz w:val="22"/>
          <w:szCs w:val="22"/>
        </w:rPr>
        <w:t xml:space="preserve"> Es el consecutivo asignado por la entidad territorial que emite el concepto. </w:t>
      </w:r>
    </w:p>
    <w:p w14:paraId="776FA16A" w14:textId="77777777" w:rsidR="008B3199" w:rsidRPr="00F10EFE" w:rsidRDefault="008B3199" w:rsidP="00F10EFE">
      <w:pPr>
        <w:rPr>
          <w:rFonts w:ascii="Verdana" w:hAnsi="Verdana" w:cs="Arial"/>
          <w:sz w:val="22"/>
          <w:szCs w:val="22"/>
        </w:rPr>
      </w:pPr>
    </w:p>
    <w:p w14:paraId="10905899"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Fecha Certificado:</w:t>
      </w:r>
      <w:r w:rsidRPr="00F10EFE">
        <w:rPr>
          <w:rFonts w:cs="Arial"/>
          <w:color w:val="auto"/>
          <w:sz w:val="22"/>
          <w:szCs w:val="22"/>
        </w:rPr>
        <w:t xml:space="preserve"> Es la fecha de expedición del certificado de uso del suelo, el cual se consulta en el mismo documento. Se debe tener especial atención en la vigencia del certificado, puesto que debe ser concordante con la vigencia del POT.</w:t>
      </w:r>
    </w:p>
    <w:p w14:paraId="0CA39E28" w14:textId="77777777" w:rsidR="008B3199" w:rsidRPr="00F10EFE" w:rsidRDefault="008B3199" w:rsidP="00F10EFE">
      <w:pPr>
        <w:rPr>
          <w:rFonts w:ascii="Verdana" w:hAnsi="Verdana" w:cs="Arial"/>
          <w:sz w:val="22"/>
          <w:szCs w:val="22"/>
        </w:rPr>
      </w:pPr>
    </w:p>
    <w:p w14:paraId="7BF71D53" w14:textId="77777777" w:rsidR="008B3199" w:rsidRPr="00F10EFE" w:rsidRDefault="008B3199" w:rsidP="00F10EFE">
      <w:pPr>
        <w:pStyle w:val="Sinespaciado"/>
        <w:ind w:left="0"/>
        <w:rPr>
          <w:rFonts w:cs="Arial"/>
          <w:color w:val="auto"/>
          <w:sz w:val="22"/>
          <w:szCs w:val="22"/>
        </w:rPr>
      </w:pPr>
      <w:bookmarkStart w:id="6" w:name="_Hlk522098100"/>
      <w:r w:rsidRPr="00F10EFE">
        <w:rPr>
          <w:rFonts w:cs="Arial"/>
          <w:color w:val="auto"/>
          <w:sz w:val="22"/>
          <w:szCs w:val="22"/>
        </w:rPr>
        <w:t xml:space="preserve">Condición de Riesgo y Amenaza Emitido por la Entidad Territorial: </w:t>
      </w:r>
    </w:p>
    <w:p w14:paraId="522CED37" w14:textId="77777777" w:rsidR="008B3199" w:rsidRPr="00F10EFE" w:rsidRDefault="008B3199" w:rsidP="00F10EFE">
      <w:pPr>
        <w:pStyle w:val="Sinespaciado"/>
        <w:ind w:left="0"/>
        <w:rPr>
          <w:rFonts w:cs="Arial"/>
          <w:color w:val="auto"/>
          <w:sz w:val="22"/>
          <w:szCs w:val="22"/>
        </w:rPr>
      </w:pPr>
      <w:r w:rsidRPr="00F10EFE">
        <w:rPr>
          <w:rFonts w:cs="Arial"/>
          <w:color w:val="auto"/>
          <w:sz w:val="22"/>
          <w:szCs w:val="22"/>
        </w:rPr>
        <w:t xml:space="preserve"> </w:t>
      </w:r>
    </w:p>
    <w:bookmarkEnd w:id="6"/>
    <w:p w14:paraId="20953EC2" w14:textId="77777777" w:rsidR="008B3199" w:rsidRPr="00F10EFE" w:rsidRDefault="008B3199" w:rsidP="00F10EFE">
      <w:pPr>
        <w:pStyle w:val="Sinespaciado"/>
        <w:ind w:left="0"/>
        <w:rPr>
          <w:rFonts w:cs="Arial"/>
          <w:b/>
          <w:color w:val="auto"/>
          <w:sz w:val="22"/>
          <w:szCs w:val="22"/>
        </w:rPr>
      </w:pPr>
      <w:r w:rsidRPr="00F10EFE">
        <w:rPr>
          <w:rFonts w:cs="Arial"/>
          <w:b/>
          <w:color w:val="auto"/>
          <w:sz w:val="22"/>
          <w:szCs w:val="22"/>
        </w:rPr>
        <w:t>¿El inmueble se encuentra ubicado en un área de amenaza y riesgo no mitigable para la localización de asentamientos humanos?</w:t>
      </w:r>
    </w:p>
    <w:p w14:paraId="189561E9" w14:textId="77777777" w:rsidR="008B3199" w:rsidRPr="00F10EFE" w:rsidRDefault="008B3199" w:rsidP="00F10EFE">
      <w:pPr>
        <w:pStyle w:val="Sinespaciado"/>
        <w:ind w:left="0"/>
        <w:rPr>
          <w:rFonts w:cs="Arial"/>
          <w:color w:val="auto"/>
          <w:sz w:val="22"/>
          <w:szCs w:val="22"/>
        </w:rPr>
      </w:pPr>
    </w:p>
    <w:p w14:paraId="35D9DB6C" w14:textId="77777777" w:rsidR="008B3199" w:rsidRPr="00F10EFE" w:rsidRDefault="008B3199" w:rsidP="00F10EFE">
      <w:pPr>
        <w:pStyle w:val="Sinespaciado"/>
        <w:ind w:left="0"/>
        <w:rPr>
          <w:rFonts w:cs="Arial"/>
          <w:color w:val="auto"/>
          <w:sz w:val="22"/>
          <w:szCs w:val="22"/>
        </w:rPr>
      </w:pPr>
      <w:r w:rsidRPr="00F10EFE">
        <w:rPr>
          <w:rFonts w:cs="Arial"/>
          <w:color w:val="auto"/>
          <w:sz w:val="22"/>
          <w:szCs w:val="22"/>
        </w:rPr>
        <w:t>La condición de riesgo y amenaza es certificada por el ente territorial (municipio o distrito), cuando la certificación no establezca con claridad la condición de mitigabilidad del riesgo, el profesional deberá oficiar nuevamente a la entidad para que haga la precisión. Será diligenciado el formato marcando o rellenando el espacio con “SI” o “NO”.</w:t>
      </w:r>
    </w:p>
    <w:p w14:paraId="01C3856C" w14:textId="77777777" w:rsidR="008B3199" w:rsidRPr="00F10EFE" w:rsidRDefault="008B3199" w:rsidP="00F10EFE">
      <w:pPr>
        <w:rPr>
          <w:rFonts w:ascii="Verdana" w:hAnsi="Verdana" w:cs="Arial"/>
          <w:sz w:val="22"/>
          <w:szCs w:val="22"/>
        </w:rPr>
      </w:pPr>
    </w:p>
    <w:p w14:paraId="44E222C7"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Número de Certificado:</w:t>
      </w:r>
      <w:r w:rsidRPr="00F10EFE">
        <w:rPr>
          <w:rFonts w:cs="Arial"/>
          <w:color w:val="auto"/>
          <w:sz w:val="22"/>
          <w:szCs w:val="22"/>
        </w:rPr>
        <w:t xml:space="preserve"> Es el consecutivo asignado por la entidad territorial que emite el concepto. </w:t>
      </w:r>
    </w:p>
    <w:p w14:paraId="325CFC05" w14:textId="77777777" w:rsidR="008B3199" w:rsidRPr="00F10EFE" w:rsidRDefault="008B3199" w:rsidP="00F10EFE">
      <w:pPr>
        <w:rPr>
          <w:rFonts w:ascii="Verdana" w:hAnsi="Verdana" w:cs="Arial"/>
          <w:sz w:val="22"/>
          <w:szCs w:val="22"/>
        </w:rPr>
      </w:pPr>
    </w:p>
    <w:p w14:paraId="343D207D"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Fecha Certificado:</w:t>
      </w:r>
      <w:r w:rsidRPr="00F10EFE">
        <w:rPr>
          <w:rFonts w:cs="Arial"/>
          <w:color w:val="auto"/>
          <w:sz w:val="22"/>
          <w:szCs w:val="22"/>
        </w:rPr>
        <w:t xml:space="preserve"> Es la fecha de expedición del certificado de riesgo y amenaza, el cual se consulta en el mismo documento del certificado. Se debe tener especial atención en la vigencia del certificado, puesto que debe ser concordante con la vigencia del POT.</w:t>
      </w:r>
    </w:p>
    <w:p w14:paraId="281418A1" w14:textId="77777777" w:rsidR="008B3199" w:rsidRPr="00F10EFE" w:rsidRDefault="008B3199" w:rsidP="00F10EFE">
      <w:pPr>
        <w:rPr>
          <w:rFonts w:ascii="Verdana" w:hAnsi="Verdana" w:cs="Arial"/>
          <w:sz w:val="22"/>
          <w:szCs w:val="22"/>
        </w:rPr>
      </w:pPr>
    </w:p>
    <w:p w14:paraId="26019B54"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¿Inmueble con Afectación Vial?:</w:t>
      </w:r>
      <w:r w:rsidRPr="00F10EFE">
        <w:rPr>
          <w:rFonts w:cs="Arial"/>
          <w:color w:val="auto"/>
          <w:sz w:val="22"/>
          <w:szCs w:val="22"/>
        </w:rPr>
        <w:t xml:space="preserve"> La condición de afectación vial es certificada por el ente territorial (municipio o distrito). Se marca con una “X” o se rellena el espacio de la respuesta “SI” o “NO”. La respuesta será “SI” cuando el inmueble se ubique en zonas de afectación vial, debidamente certificada por la entidad territorial competente Artículo No 2.1.2.2.2.2 del Decreto 1077 de 2015. En caso contrario se marca en la respuesta “NO”.</w:t>
      </w:r>
    </w:p>
    <w:p w14:paraId="26B099E4" w14:textId="77777777" w:rsidR="008B3199" w:rsidRPr="00F10EFE" w:rsidRDefault="008B3199" w:rsidP="00F10EFE">
      <w:pPr>
        <w:rPr>
          <w:rFonts w:ascii="Verdana" w:hAnsi="Verdana" w:cs="Arial"/>
          <w:sz w:val="22"/>
          <w:szCs w:val="22"/>
        </w:rPr>
      </w:pPr>
    </w:p>
    <w:p w14:paraId="600C9864" w14:textId="77777777" w:rsidR="008B3199" w:rsidRPr="00F10EFE" w:rsidRDefault="008B3199" w:rsidP="00F10EFE">
      <w:pPr>
        <w:rPr>
          <w:rFonts w:ascii="Verdana" w:hAnsi="Verdana" w:cs="Arial"/>
          <w:sz w:val="22"/>
          <w:szCs w:val="22"/>
        </w:rPr>
      </w:pPr>
      <w:r w:rsidRPr="00F10EFE">
        <w:rPr>
          <w:rFonts w:ascii="Verdana" w:hAnsi="Verdana" w:cs="Arial"/>
          <w:b/>
          <w:sz w:val="22"/>
          <w:szCs w:val="22"/>
        </w:rPr>
        <w:t>Nota:</w:t>
      </w:r>
      <w:r w:rsidRPr="00F10EFE">
        <w:rPr>
          <w:rFonts w:ascii="Verdana" w:hAnsi="Verdana" w:cs="Arial"/>
          <w:sz w:val="22"/>
          <w:szCs w:val="22"/>
        </w:rPr>
        <w:t xml:space="preserve"> Para el caso de Bogotá, el Portal – SINUPOT permite la descarga de los reportes de la norma de uso del suelo, reserva vial, información de norma urbana consolidada y zonas de amenaza, requeridos en la sección “6. Certificado de uso del suelo y riesgo expedido por la entidad territorial” los cuales pueden ser usados por el profesional en reemplazo de las certificaciones.</w:t>
      </w:r>
    </w:p>
    <w:p w14:paraId="38146AFF" w14:textId="77777777" w:rsidR="008B3199" w:rsidRPr="00F10EFE" w:rsidRDefault="008B3199" w:rsidP="00F10EFE">
      <w:pPr>
        <w:rPr>
          <w:rFonts w:ascii="Verdana" w:hAnsi="Verdana" w:cs="Arial"/>
          <w:b/>
          <w:sz w:val="22"/>
          <w:szCs w:val="22"/>
        </w:rPr>
      </w:pPr>
      <w:r w:rsidRPr="00F10EFE">
        <w:rPr>
          <w:rFonts w:ascii="Verdana" w:hAnsi="Verdana" w:cs="Arial"/>
          <w:b/>
          <w:sz w:val="22"/>
          <w:szCs w:val="22"/>
        </w:rPr>
        <w:lastRenderedPageBreak/>
        <w:t xml:space="preserve">Observaciones: </w:t>
      </w:r>
      <w:r w:rsidRPr="00F10EFE">
        <w:rPr>
          <w:rFonts w:ascii="Verdana" w:hAnsi="Verdana" w:cs="Arial"/>
          <w:sz w:val="22"/>
          <w:szCs w:val="22"/>
        </w:rPr>
        <w:t>Las que el profesional considere oportunas, relacionadas esta sección.</w:t>
      </w:r>
    </w:p>
    <w:p w14:paraId="0259807F" w14:textId="77777777" w:rsidR="008B3199" w:rsidRPr="00F10EFE" w:rsidRDefault="008B3199" w:rsidP="00F10EFE">
      <w:pPr>
        <w:rPr>
          <w:rFonts w:ascii="Verdana" w:hAnsi="Verdana" w:cs="Arial"/>
          <w:b/>
          <w:sz w:val="22"/>
          <w:szCs w:val="22"/>
        </w:rPr>
      </w:pPr>
    </w:p>
    <w:p w14:paraId="3EA34308" w14:textId="77777777" w:rsidR="008B3199" w:rsidRPr="00F10EFE" w:rsidRDefault="008B3199" w:rsidP="00C42376">
      <w:pPr>
        <w:pStyle w:val="Subttulo"/>
        <w:numPr>
          <w:ilvl w:val="0"/>
          <w:numId w:val="0"/>
        </w:numPr>
        <w:spacing w:after="0"/>
        <w:rPr>
          <w:rFonts w:ascii="Verdana" w:hAnsi="Verdana"/>
          <w:sz w:val="22"/>
          <w:szCs w:val="22"/>
        </w:rPr>
      </w:pPr>
      <w:bookmarkStart w:id="7" w:name="_Toc531360105"/>
      <w:r w:rsidRPr="00F10EFE">
        <w:rPr>
          <w:rFonts w:ascii="Verdana" w:hAnsi="Verdana"/>
          <w:sz w:val="22"/>
          <w:szCs w:val="22"/>
        </w:rPr>
        <w:t>SECCIÓN 7: INFORMACIÓN DE LA GESTIÓN</w:t>
      </w:r>
      <w:bookmarkEnd w:id="7"/>
    </w:p>
    <w:p w14:paraId="184F5AE9" w14:textId="77777777" w:rsidR="008B3199" w:rsidRPr="00F10EFE" w:rsidRDefault="008B3199" w:rsidP="00F10EFE">
      <w:pPr>
        <w:rPr>
          <w:rFonts w:ascii="Verdana" w:hAnsi="Verdana" w:cs="Arial"/>
          <w:sz w:val="22"/>
          <w:szCs w:val="22"/>
        </w:rPr>
      </w:pPr>
    </w:p>
    <w:p w14:paraId="375F4E53"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7.1. Solicitud de parte:</w:t>
      </w:r>
      <w:r w:rsidRPr="00F10EFE">
        <w:rPr>
          <w:rFonts w:cs="Arial"/>
          <w:color w:val="auto"/>
          <w:sz w:val="22"/>
          <w:szCs w:val="22"/>
        </w:rPr>
        <w:t xml:space="preserve"> Debe quedar registrado el nombre de la persona o personas que realizan la solicitud de cesión a título gratuito. </w:t>
      </w:r>
    </w:p>
    <w:p w14:paraId="5E4C8A09" w14:textId="77777777" w:rsidR="008B3199" w:rsidRPr="00F10EFE" w:rsidRDefault="008B3199" w:rsidP="00F10EFE">
      <w:pPr>
        <w:rPr>
          <w:rFonts w:ascii="Verdana" w:hAnsi="Verdana" w:cs="Arial"/>
          <w:sz w:val="22"/>
          <w:szCs w:val="22"/>
        </w:rPr>
      </w:pPr>
    </w:p>
    <w:p w14:paraId="39586AD7" w14:textId="77777777" w:rsidR="008B3199" w:rsidRPr="00F10EFE" w:rsidRDefault="008B3199" w:rsidP="00F10EFE">
      <w:pPr>
        <w:rPr>
          <w:rFonts w:ascii="Verdana" w:hAnsi="Verdana" w:cs="Arial"/>
          <w:sz w:val="22"/>
          <w:szCs w:val="22"/>
        </w:rPr>
      </w:pPr>
      <w:r w:rsidRPr="00F10EFE">
        <w:rPr>
          <w:rFonts w:ascii="Verdana" w:hAnsi="Verdana" w:cs="Arial"/>
          <w:sz w:val="22"/>
          <w:szCs w:val="22"/>
        </w:rPr>
        <w:t>Para diligenciar esta sección se debe tener en cuenta:</w:t>
      </w:r>
    </w:p>
    <w:p w14:paraId="10077F58" w14:textId="77777777" w:rsidR="008B3199" w:rsidRPr="00F10EFE" w:rsidRDefault="008B3199" w:rsidP="00F10EFE">
      <w:pPr>
        <w:rPr>
          <w:rFonts w:ascii="Verdana" w:hAnsi="Verdana" w:cs="Arial"/>
          <w:sz w:val="22"/>
          <w:szCs w:val="22"/>
        </w:rPr>
      </w:pPr>
    </w:p>
    <w:p w14:paraId="0AAD0027" w14:textId="77777777" w:rsidR="008B3199" w:rsidRPr="00F10EFE" w:rsidRDefault="008B3199" w:rsidP="00B863F1">
      <w:pPr>
        <w:pStyle w:val="Prrafodelista"/>
        <w:numPr>
          <w:ilvl w:val="0"/>
          <w:numId w:val="21"/>
        </w:numPr>
        <w:ind w:left="142" w:firstLine="284"/>
        <w:rPr>
          <w:rFonts w:ascii="Verdana" w:hAnsi="Verdana" w:cs="Arial"/>
          <w:sz w:val="22"/>
          <w:szCs w:val="22"/>
        </w:rPr>
      </w:pPr>
      <w:r w:rsidRPr="00F10EFE">
        <w:rPr>
          <w:rFonts w:ascii="Verdana" w:hAnsi="Verdana" w:cs="Arial"/>
          <w:sz w:val="22"/>
          <w:szCs w:val="22"/>
        </w:rPr>
        <w:t>Radicado N.: enunciar el número.</w:t>
      </w:r>
    </w:p>
    <w:p w14:paraId="29EB9FF3" w14:textId="77777777" w:rsidR="008B3199" w:rsidRPr="00F10EFE" w:rsidRDefault="008B3199" w:rsidP="00B863F1">
      <w:pPr>
        <w:pStyle w:val="Prrafodelista"/>
        <w:numPr>
          <w:ilvl w:val="0"/>
          <w:numId w:val="21"/>
        </w:numPr>
        <w:ind w:left="142" w:firstLine="284"/>
        <w:rPr>
          <w:rFonts w:ascii="Verdana" w:hAnsi="Verdana" w:cs="Arial"/>
          <w:sz w:val="22"/>
          <w:szCs w:val="22"/>
        </w:rPr>
      </w:pPr>
      <w:r w:rsidRPr="00F10EFE">
        <w:rPr>
          <w:rFonts w:ascii="Verdana" w:hAnsi="Verdana" w:cs="Arial"/>
          <w:sz w:val="22"/>
          <w:szCs w:val="22"/>
        </w:rPr>
        <w:t>Fecha: fecha en que se recibe la solicitud.</w:t>
      </w:r>
    </w:p>
    <w:p w14:paraId="4F640791" w14:textId="77777777" w:rsidR="008B3199" w:rsidRPr="00F10EFE" w:rsidRDefault="008B3199" w:rsidP="00B863F1">
      <w:pPr>
        <w:pStyle w:val="Prrafodelista"/>
        <w:numPr>
          <w:ilvl w:val="0"/>
          <w:numId w:val="21"/>
        </w:numPr>
        <w:ind w:left="709" w:hanging="283"/>
        <w:rPr>
          <w:rFonts w:ascii="Verdana" w:hAnsi="Verdana" w:cs="Arial"/>
          <w:sz w:val="22"/>
          <w:szCs w:val="22"/>
        </w:rPr>
      </w:pPr>
      <w:r w:rsidRPr="00F10EFE">
        <w:rPr>
          <w:rFonts w:ascii="Verdana" w:hAnsi="Verdana" w:cs="Arial"/>
          <w:sz w:val="22"/>
          <w:szCs w:val="22"/>
        </w:rPr>
        <w:t>Nombre del peticionario 1: nombre y apellidos del solicitante de la cesión a título gratuito.</w:t>
      </w:r>
    </w:p>
    <w:p w14:paraId="4B831ACB" w14:textId="77777777" w:rsidR="008B3199" w:rsidRPr="00F10EFE" w:rsidRDefault="008B3199" w:rsidP="00B863F1">
      <w:pPr>
        <w:pStyle w:val="Prrafodelista"/>
        <w:numPr>
          <w:ilvl w:val="0"/>
          <w:numId w:val="21"/>
        </w:numPr>
        <w:ind w:left="142" w:firstLine="284"/>
        <w:rPr>
          <w:rFonts w:ascii="Verdana" w:hAnsi="Verdana" w:cs="Arial"/>
          <w:sz w:val="22"/>
          <w:szCs w:val="22"/>
        </w:rPr>
      </w:pPr>
      <w:r w:rsidRPr="00F10EFE">
        <w:rPr>
          <w:rFonts w:ascii="Verdana" w:hAnsi="Verdana" w:cs="Arial"/>
          <w:sz w:val="22"/>
          <w:szCs w:val="22"/>
        </w:rPr>
        <w:t>Tipo de identificación: si es CC o NUIP.</w:t>
      </w:r>
    </w:p>
    <w:p w14:paraId="7FA7C4C5" w14:textId="77777777" w:rsidR="008B3199" w:rsidRPr="00F10EFE" w:rsidRDefault="008B3199" w:rsidP="00B863F1">
      <w:pPr>
        <w:pStyle w:val="Prrafodelista"/>
        <w:numPr>
          <w:ilvl w:val="0"/>
          <w:numId w:val="21"/>
        </w:numPr>
        <w:ind w:left="142" w:firstLine="284"/>
        <w:rPr>
          <w:rFonts w:ascii="Verdana" w:hAnsi="Verdana" w:cs="Arial"/>
          <w:sz w:val="22"/>
          <w:szCs w:val="22"/>
        </w:rPr>
      </w:pPr>
      <w:r w:rsidRPr="00F10EFE">
        <w:rPr>
          <w:rFonts w:ascii="Verdana" w:hAnsi="Verdana" w:cs="Arial"/>
          <w:sz w:val="22"/>
          <w:szCs w:val="22"/>
        </w:rPr>
        <w:t>Identificación: número de la identificación.</w:t>
      </w:r>
    </w:p>
    <w:p w14:paraId="6234B067" w14:textId="77777777" w:rsidR="008B3199" w:rsidRPr="00F10EFE" w:rsidRDefault="008B3199" w:rsidP="00B863F1">
      <w:pPr>
        <w:pStyle w:val="Prrafodelista"/>
        <w:numPr>
          <w:ilvl w:val="0"/>
          <w:numId w:val="21"/>
        </w:numPr>
        <w:ind w:left="709" w:hanging="283"/>
        <w:rPr>
          <w:rFonts w:ascii="Verdana" w:hAnsi="Verdana" w:cs="Arial"/>
          <w:sz w:val="22"/>
          <w:szCs w:val="22"/>
        </w:rPr>
      </w:pPr>
      <w:r w:rsidRPr="00F10EFE">
        <w:rPr>
          <w:rFonts w:ascii="Verdana" w:hAnsi="Verdana" w:cs="Arial"/>
          <w:sz w:val="22"/>
          <w:szCs w:val="22"/>
        </w:rPr>
        <w:t xml:space="preserve">Relación con el predio: es el vínculo que tiene el solicitante con el bien inmueble objeto de la solicitud de titulación. </w:t>
      </w:r>
    </w:p>
    <w:p w14:paraId="1A603C8E" w14:textId="77777777" w:rsidR="008B3199" w:rsidRPr="00F10EFE" w:rsidRDefault="008B3199" w:rsidP="00B863F1">
      <w:pPr>
        <w:pStyle w:val="Prrafodelista"/>
        <w:numPr>
          <w:ilvl w:val="0"/>
          <w:numId w:val="21"/>
        </w:numPr>
        <w:ind w:left="142" w:firstLine="284"/>
        <w:rPr>
          <w:rFonts w:ascii="Verdana" w:hAnsi="Verdana" w:cs="Arial"/>
          <w:sz w:val="22"/>
          <w:szCs w:val="22"/>
        </w:rPr>
      </w:pPr>
      <w:r w:rsidRPr="00F10EFE">
        <w:rPr>
          <w:rFonts w:ascii="Verdana" w:hAnsi="Verdana" w:cs="Arial"/>
          <w:sz w:val="22"/>
          <w:szCs w:val="22"/>
        </w:rPr>
        <w:t>Dirección de notificación: dirección de correspondencia física del solicitante.</w:t>
      </w:r>
    </w:p>
    <w:p w14:paraId="78FFE4F4" w14:textId="77777777" w:rsidR="008B3199" w:rsidRPr="00F10EFE" w:rsidRDefault="008B3199" w:rsidP="00B863F1">
      <w:pPr>
        <w:pStyle w:val="Prrafodelista"/>
        <w:numPr>
          <w:ilvl w:val="0"/>
          <w:numId w:val="21"/>
        </w:numPr>
        <w:ind w:left="142" w:firstLine="284"/>
        <w:rPr>
          <w:rFonts w:ascii="Verdana" w:hAnsi="Verdana" w:cs="Arial"/>
          <w:sz w:val="22"/>
          <w:szCs w:val="22"/>
        </w:rPr>
      </w:pPr>
      <w:r w:rsidRPr="00F10EFE">
        <w:rPr>
          <w:rFonts w:ascii="Verdana" w:hAnsi="Verdana" w:cs="Arial"/>
          <w:sz w:val="22"/>
          <w:szCs w:val="22"/>
        </w:rPr>
        <w:t>Número de contacto: número de teléfono del solicitante.</w:t>
      </w:r>
    </w:p>
    <w:p w14:paraId="0BFF6EE3" w14:textId="77777777" w:rsidR="008B3199" w:rsidRPr="00F10EFE" w:rsidRDefault="008B3199" w:rsidP="00B863F1">
      <w:pPr>
        <w:pStyle w:val="Prrafodelista"/>
        <w:numPr>
          <w:ilvl w:val="0"/>
          <w:numId w:val="21"/>
        </w:numPr>
        <w:ind w:left="142" w:firstLine="284"/>
        <w:rPr>
          <w:rFonts w:ascii="Verdana" w:hAnsi="Verdana" w:cs="Arial"/>
          <w:sz w:val="22"/>
          <w:szCs w:val="22"/>
        </w:rPr>
      </w:pPr>
      <w:r w:rsidRPr="00F10EFE">
        <w:rPr>
          <w:rFonts w:ascii="Verdana" w:hAnsi="Verdana" w:cs="Arial"/>
          <w:sz w:val="22"/>
          <w:szCs w:val="22"/>
        </w:rPr>
        <w:t>Observaciones: anotaciones que el profesional crea conveniente incluir.</w:t>
      </w:r>
    </w:p>
    <w:p w14:paraId="614DB2E2" w14:textId="77777777" w:rsidR="008B3199" w:rsidRPr="00F10EFE" w:rsidRDefault="008B3199" w:rsidP="00F10EFE">
      <w:pPr>
        <w:rPr>
          <w:rFonts w:ascii="Verdana" w:hAnsi="Verdana" w:cs="Arial"/>
          <w:sz w:val="22"/>
          <w:szCs w:val="22"/>
        </w:rPr>
      </w:pPr>
    </w:p>
    <w:p w14:paraId="7CD47FAF" w14:textId="77777777" w:rsidR="008B3199" w:rsidRPr="00F10EFE" w:rsidRDefault="008B3199" w:rsidP="00F10EFE">
      <w:pPr>
        <w:rPr>
          <w:rFonts w:ascii="Verdana" w:hAnsi="Verdana" w:cs="Arial"/>
          <w:i/>
          <w:sz w:val="22"/>
          <w:szCs w:val="22"/>
        </w:rPr>
      </w:pPr>
      <w:r w:rsidRPr="00F10EFE">
        <w:rPr>
          <w:rFonts w:ascii="Verdana" w:hAnsi="Verdana" w:cs="Arial"/>
          <w:i/>
          <w:sz w:val="22"/>
          <w:szCs w:val="22"/>
        </w:rPr>
        <w:t>Las definiciones c), d), e) y f) se aplican de igual forma para todos los campos que hacen relación al “Peticionario 2”.</w:t>
      </w:r>
    </w:p>
    <w:p w14:paraId="7F3358E0" w14:textId="77777777" w:rsidR="008B3199" w:rsidRPr="00F10EFE" w:rsidRDefault="008B3199" w:rsidP="00F10EFE">
      <w:pPr>
        <w:rPr>
          <w:rFonts w:ascii="Verdana" w:hAnsi="Verdana" w:cs="Arial"/>
          <w:sz w:val="22"/>
          <w:szCs w:val="22"/>
        </w:rPr>
      </w:pPr>
    </w:p>
    <w:p w14:paraId="6FE596C3"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7.2. Trámite de oficio:</w:t>
      </w:r>
      <w:r w:rsidRPr="00F10EFE">
        <w:rPr>
          <w:rFonts w:cs="Arial"/>
          <w:color w:val="auto"/>
          <w:sz w:val="22"/>
          <w:szCs w:val="22"/>
        </w:rPr>
        <w:t xml:space="preserve"> Se marca con una “X” o se rellena el campo correspondiente, si el trámite de titulación se efectúa en el marco de un “Convenio” de cesión o por la depuración de la Base de Datos” (Aplicativo ICT INURBE).</w:t>
      </w:r>
    </w:p>
    <w:p w14:paraId="55D5ADC0" w14:textId="77777777" w:rsidR="008B3199" w:rsidRPr="00F10EFE" w:rsidRDefault="008B3199" w:rsidP="00F10EFE">
      <w:pPr>
        <w:rPr>
          <w:rFonts w:ascii="Verdana" w:hAnsi="Verdana" w:cs="Arial"/>
          <w:sz w:val="22"/>
          <w:szCs w:val="22"/>
        </w:rPr>
      </w:pPr>
    </w:p>
    <w:p w14:paraId="017782C9"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7.3. Duplicidad del expediente:</w:t>
      </w:r>
      <w:r w:rsidRPr="00F10EFE">
        <w:rPr>
          <w:rFonts w:cs="Arial"/>
          <w:color w:val="auto"/>
          <w:sz w:val="22"/>
          <w:szCs w:val="22"/>
        </w:rPr>
        <w:t xml:space="preserve"> Cuando se evidencie en el aplicativo ICT-INURBE, la existencia de más de un expediente, asignado al mismo inmueble, el profesional deberá realizar la depuración que corresponda y proceder a cerrar los expedientes que generen duplicidad.</w:t>
      </w:r>
    </w:p>
    <w:p w14:paraId="60E0F8F0" w14:textId="77777777" w:rsidR="008B3199" w:rsidRPr="00F10EFE" w:rsidRDefault="008B3199" w:rsidP="00F10EFE">
      <w:pPr>
        <w:rPr>
          <w:rFonts w:ascii="Verdana" w:hAnsi="Verdana" w:cs="Arial"/>
          <w:sz w:val="22"/>
          <w:szCs w:val="22"/>
        </w:rPr>
      </w:pPr>
    </w:p>
    <w:p w14:paraId="31BAF791" w14:textId="77777777" w:rsidR="008B3199" w:rsidRPr="00F10EFE" w:rsidRDefault="008B3199" w:rsidP="00F10EFE">
      <w:pPr>
        <w:rPr>
          <w:rFonts w:ascii="Verdana" w:hAnsi="Verdana" w:cs="Arial"/>
          <w:b/>
          <w:sz w:val="22"/>
          <w:szCs w:val="22"/>
        </w:rPr>
      </w:pPr>
      <w:r w:rsidRPr="00F10EFE">
        <w:rPr>
          <w:rFonts w:ascii="Verdana" w:hAnsi="Verdana" w:cs="Arial"/>
          <w:b/>
          <w:sz w:val="22"/>
          <w:szCs w:val="22"/>
        </w:rPr>
        <w:t xml:space="preserve">Observaciones: </w:t>
      </w:r>
      <w:r w:rsidRPr="00F10EFE">
        <w:rPr>
          <w:rFonts w:ascii="Verdana" w:hAnsi="Verdana" w:cs="Arial"/>
          <w:sz w:val="22"/>
          <w:szCs w:val="22"/>
        </w:rPr>
        <w:t>Las que el profesional considere oportunas, relacionadas esta sección.</w:t>
      </w:r>
    </w:p>
    <w:p w14:paraId="3599A3CC" w14:textId="77777777" w:rsidR="00C42376" w:rsidRDefault="00C42376" w:rsidP="00C42376">
      <w:pPr>
        <w:pStyle w:val="Subttulo"/>
        <w:numPr>
          <w:ilvl w:val="0"/>
          <w:numId w:val="0"/>
        </w:numPr>
        <w:spacing w:after="0"/>
        <w:rPr>
          <w:rFonts w:ascii="Verdana" w:hAnsi="Verdana"/>
          <w:sz w:val="22"/>
          <w:szCs w:val="22"/>
        </w:rPr>
      </w:pPr>
      <w:bookmarkStart w:id="8" w:name="_Toc531360106"/>
    </w:p>
    <w:p w14:paraId="07F207CF" w14:textId="77777777" w:rsidR="0088178C" w:rsidRDefault="0088178C" w:rsidP="0088178C"/>
    <w:p w14:paraId="1D1DAEED" w14:textId="77777777" w:rsidR="0088178C" w:rsidRDefault="0088178C" w:rsidP="0088178C"/>
    <w:p w14:paraId="3E859031" w14:textId="77777777" w:rsidR="0088178C" w:rsidRPr="0088178C" w:rsidRDefault="0088178C" w:rsidP="0088178C"/>
    <w:p w14:paraId="71ECB95E" w14:textId="3F6F8DA4" w:rsidR="008B3199" w:rsidRPr="00F10EFE" w:rsidRDefault="008B3199" w:rsidP="00C42376">
      <w:pPr>
        <w:pStyle w:val="Subttulo"/>
        <w:numPr>
          <w:ilvl w:val="0"/>
          <w:numId w:val="0"/>
        </w:numPr>
        <w:spacing w:after="0"/>
        <w:rPr>
          <w:rFonts w:ascii="Verdana" w:hAnsi="Verdana"/>
          <w:sz w:val="22"/>
          <w:szCs w:val="22"/>
        </w:rPr>
      </w:pPr>
      <w:r w:rsidRPr="00F10EFE">
        <w:rPr>
          <w:rFonts w:ascii="Verdana" w:hAnsi="Verdana"/>
          <w:sz w:val="22"/>
          <w:szCs w:val="22"/>
        </w:rPr>
        <w:lastRenderedPageBreak/>
        <w:t>SECCIÓN 8: VERIFICACIÓN DE PROPIEDADES A NOMBRE DEL (DE LOS) OCUPANTE(S)</w:t>
      </w:r>
      <w:bookmarkEnd w:id="8"/>
    </w:p>
    <w:p w14:paraId="21905159" w14:textId="77777777" w:rsidR="008B3199" w:rsidRPr="00F10EFE" w:rsidRDefault="008B3199" w:rsidP="00F10EFE">
      <w:pPr>
        <w:rPr>
          <w:rFonts w:ascii="Verdana" w:hAnsi="Verdana" w:cs="Arial"/>
          <w:sz w:val="22"/>
          <w:szCs w:val="22"/>
        </w:rPr>
      </w:pPr>
    </w:p>
    <w:p w14:paraId="388D8319"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Se consultarán las propiedades que tenga(n) el o los solicitantes y los miembros de su hogar, en la Ventanilla Única de Registro – VUR, de la cual se debe consignar la fecha en el espacio reservado para tal fin. </w:t>
      </w:r>
    </w:p>
    <w:p w14:paraId="27EB1FAA" w14:textId="77777777" w:rsidR="008B3199" w:rsidRPr="00F10EFE" w:rsidRDefault="008B3199" w:rsidP="00F10EFE">
      <w:pPr>
        <w:rPr>
          <w:rFonts w:ascii="Verdana" w:hAnsi="Verdana" w:cs="Arial"/>
          <w:sz w:val="22"/>
          <w:szCs w:val="22"/>
        </w:rPr>
      </w:pPr>
    </w:p>
    <w:p w14:paraId="022A7E79"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Nota: La validación del cruce de propiedades, se debe realizar para todos los miembros del hogar, reportados en la declaración extrajuicio que aporte el peticionario. </w:t>
      </w:r>
    </w:p>
    <w:p w14:paraId="3342A6E6" w14:textId="77777777" w:rsidR="008B3199" w:rsidRPr="00F10EFE" w:rsidRDefault="008B3199" w:rsidP="00F10EFE">
      <w:pPr>
        <w:rPr>
          <w:rFonts w:ascii="Verdana" w:hAnsi="Verdana" w:cs="Arial"/>
          <w:sz w:val="22"/>
          <w:szCs w:val="22"/>
        </w:rPr>
      </w:pPr>
    </w:p>
    <w:p w14:paraId="1F098F37"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Se marcará con una “X” o se rellena el campo correspondiente “¿el (los) peticionario(s) o algún miembro de su hogar, es (son) propietario (s) de otro (s) inmueble (s) en el territorio nacional?” a la respuesta “SI” o “NO”. Se marcará “SI”, cuando el o los solicitantes, sean propietarios de otros bienes inmuebles ubicados dentro del territorio nacional, a la fecha de postulación, entendiendo por ella, en la que se acreditó el cumplimiento de los requisitos necesarios para iniciar el trámite administrativo de cesión, excepto el avalúo, en caso que se vislumbre una posible terminación de actuación administrativa por hecho diferente a la superación del tope VIS. </w:t>
      </w:r>
    </w:p>
    <w:p w14:paraId="4CC7EA4D" w14:textId="77777777" w:rsidR="008B3199" w:rsidRPr="00F10EFE" w:rsidRDefault="008B3199" w:rsidP="00F10EFE">
      <w:pPr>
        <w:rPr>
          <w:rFonts w:ascii="Verdana" w:hAnsi="Verdana" w:cs="Arial"/>
          <w:sz w:val="22"/>
          <w:szCs w:val="22"/>
        </w:rPr>
      </w:pPr>
    </w:p>
    <w:p w14:paraId="2C746417"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Datos Básicos de los Inmuebles Reportados:</w:t>
      </w:r>
      <w:r w:rsidRPr="00F10EFE">
        <w:rPr>
          <w:rFonts w:cs="Arial"/>
          <w:color w:val="auto"/>
          <w:sz w:val="22"/>
          <w:szCs w:val="22"/>
        </w:rPr>
        <w:t xml:space="preserve"> Aplica únicamente para los predios en titularidad del (los) solicitante(s) o de alguno(s) de los miembros de su hogar.</w:t>
      </w:r>
    </w:p>
    <w:p w14:paraId="08309136" w14:textId="77777777" w:rsidR="008B3199" w:rsidRPr="00F10EFE" w:rsidRDefault="008B3199" w:rsidP="00F10EFE">
      <w:pPr>
        <w:rPr>
          <w:rFonts w:ascii="Verdana" w:hAnsi="Verdana" w:cs="Arial"/>
          <w:b/>
          <w:sz w:val="22"/>
          <w:szCs w:val="22"/>
        </w:rPr>
      </w:pPr>
    </w:p>
    <w:p w14:paraId="4A3F89B3" w14:textId="77777777" w:rsidR="008B3199" w:rsidRPr="00F10EFE" w:rsidRDefault="008B3199" w:rsidP="00F10EFE">
      <w:pPr>
        <w:rPr>
          <w:rFonts w:ascii="Verdana" w:hAnsi="Verdana" w:cs="Arial"/>
          <w:b/>
          <w:sz w:val="22"/>
          <w:szCs w:val="22"/>
        </w:rPr>
      </w:pPr>
      <w:r w:rsidRPr="00F10EFE">
        <w:rPr>
          <w:rFonts w:ascii="Verdana" w:hAnsi="Verdana" w:cs="Arial"/>
          <w:b/>
          <w:sz w:val="22"/>
          <w:szCs w:val="22"/>
        </w:rPr>
        <w:t xml:space="preserve">Predio 1 </w:t>
      </w:r>
    </w:p>
    <w:p w14:paraId="02928401" w14:textId="77777777" w:rsidR="008B3199" w:rsidRPr="00F10EFE" w:rsidRDefault="008B3199" w:rsidP="00F10EFE">
      <w:pPr>
        <w:rPr>
          <w:rFonts w:ascii="Verdana" w:hAnsi="Verdana" w:cs="Arial"/>
          <w:sz w:val="22"/>
          <w:szCs w:val="22"/>
        </w:rPr>
      </w:pPr>
    </w:p>
    <w:p w14:paraId="49DEC406" w14:textId="77777777" w:rsidR="008B3199" w:rsidRPr="00F10EFE" w:rsidRDefault="008B3199" w:rsidP="00B863F1">
      <w:pPr>
        <w:pStyle w:val="Prrafodelista"/>
        <w:numPr>
          <w:ilvl w:val="0"/>
          <w:numId w:val="22"/>
        </w:numPr>
        <w:ind w:left="567" w:hanging="283"/>
        <w:rPr>
          <w:rFonts w:ascii="Verdana" w:hAnsi="Verdana" w:cs="Arial"/>
          <w:sz w:val="22"/>
          <w:szCs w:val="22"/>
        </w:rPr>
      </w:pPr>
      <w:r w:rsidRPr="00F10EFE">
        <w:rPr>
          <w:rFonts w:ascii="Verdana" w:hAnsi="Verdana" w:cs="Arial"/>
          <w:sz w:val="22"/>
          <w:szCs w:val="22"/>
        </w:rPr>
        <w:t>Departamento y municipio: corresponden a la ubicación del predio en el territorio nacional.</w:t>
      </w:r>
    </w:p>
    <w:p w14:paraId="0212F3BA" w14:textId="77777777" w:rsidR="008B3199" w:rsidRPr="00F10EFE" w:rsidRDefault="008B3199" w:rsidP="00B863F1">
      <w:pPr>
        <w:pStyle w:val="Prrafodelista"/>
        <w:numPr>
          <w:ilvl w:val="0"/>
          <w:numId w:val="22"/>
        </w:numPr>
        <w:ind w:left="567" w:hanging="283"/>
        <w:rPr>
          <w:rFonts w:ascii="Verdana" w:hAnsi="Verdana" w:cs="Arial"/>
          <w:sz w:val="22"/>
          <w:szCs w:val="22"/>
        </w:rPr>
      </w:pPr>
      <w:r w:rsidRPr="00F10EFE">
        <w:rPr>
          <w:rFonts w:ascii="Verdana" w:hAnsi="Verdana" w:cs="Arial"/>
          <w:sz w:val="22"/>
          <w:szCs w:val="22"/>
        </w:rPr>
        <w:t>Matrícula inmobiliaria N.: identificador del predio ante la respectiva Oficina de Registro e Instrumentos Públicos.</w:t>
      </w:r>
    </w:p>
    <w:p w14:paraId="2C1CCD03" w14:textId="77777777" w:rsidR="008B3199" w:rsidRPr="00F10EFE" w:rsidRDefault="008B3199" w:rsidP="00B863F1">
      <w:pPr>
        <w:pStyle w:val="Prrafodelista"/>
        <w:numPr>
          <w:ilvl w:val="0"/>
          <w:numId w:val="22"/>
        </w:numPr>
        <w:ind w:left="567" w:hanging="283"/>
        <w:rPr>
          <w:rFonts w:ascii="Verdana" w:hAnsi="Verdana" w:cs="Arial"/>
          <w:sz w:val="22"/>
          <w:szCs w:val="22"/>
        </w:rPr>
      </w:pPr>
      <w:r w:rsidRPr="00F10EFE">
        <w:rPr>
          <w:rFonts w:ascii="Verdana" w:hAnsi="Verdana" w:cs="Arial"/>
          <w:sz w:val="22"/>
          <w:szCs w:val="22"/>
        </w:rPr>
        <w:t>Identificador Predial: cualquiera de los identificadores catastrales que fueron abordados en la sección “1. IDENTIFICACION DEL INMUEBLE”</w:t>
      </w:r>
    </w:p>
    <w:p w14:paraId="67F1A689" w14:textId="77777777" w:rsidR="008B3199" w:rsidRPr="00F10EFE" w:rsidRDefault="008B3199" w:rsidP="00B863F1">
      <w:pPr>
        <w:pStyle w:val="Prrafodelista"/>
        <w:numPr>
          <w:ilvl w:val="0"/>
          <w:numId w:val="22"/>
        </w:numPr>
        <w:ind w:left="567" w:hanging="283"/>
        <w:rPr>
          <w:rFonts w:ascii="Verdana" w:hAnsi="Verdana" w:cs="Arial"/>
          <w:sz w:val="22"/>
          <w:szCs w:val="22"/>
        </w:rPr>
      </w:pPr>
      <w:r w:rsidRPr="00F10EFE">
        <w:rPr>
          <w:rFonts w:ascii="Verdana" w:hAnsi="Verdana" w:cs="Arial"/>
          <w:sz w:val="22"/>
          <w:szCs w:val="22"/>
        </w:rPr>
        <w:t>Dirección: ubicación del predio dada por la nomenclatura vial vigente en el municipio o distrito.</w:t>
      </w:r>
    </w:p>
    <w:p w14:paraId="3C8EBA53" w14:textId="77777777" w:rsidR="008B3199" w:rsidRPr="00F10EFE" w:rsidRDefault="008B3199" w:rsidP="00B863F1">
      <w:pPr>
        <w:pStyle w:val="Prrafodelista"/>
        <w:numPr>
          <w:ilvl w:val="0"/>
          <w:numId w:val="22"/>
        </w:numPr>
        <w:ind w:left="567" w:hanging="283"/>
        <w:rPr>
          <w:rFonts w:ascii="Verdana" w:hAnsi="Verdana" w:cs="Arial"/>
          <w:sz w:val="22"/>
          <w:szCs w:val="22"/>
        </w:rPr>
      </w:pPr>
      <w:r w:rsidRPr="00F10EFE">
        <w:rPr>
          <w:rFonts w:ascii="Verdana" w:hAnsi="Verdana" w:cs="Arial"/>
          <w:sz w:val="22"/>
          <w:szCs w:val="22"/>
        </w:rPr>
        <w:t>Destino del predio según la autoridad catastral: destino económico del predio.</w:t>
      </w:r>
    </w:p>
    <w:p w14:paraId="4A8ED2DA" w14:textId="77777777" w:rsidR="008B3199" w:rsidRPr="00F10EFE" w:rsidRDefault="008B3199" w:rsidP="00F10EFE">
      <w:pPr>
        <w:rPr>
          <w:rFonts w:ascii="Verdana" w:hAnsi="Verdana" w:cs="Arial"/>
          <w:sz w:val="22"/>
          <w:szCs w:val="22"/>
        </w:rPr>
      </w:pPr>
    </w:p>
    <w:p w14:paraId="643BC0B9" w14:textId="77777777" w:rsidR="008B3199" w:rsidRPr="00F10EFE" w:rsidRDefault="008B3199" w:rsidP="00F10EFE">
      <w:pPr>
        <w:rPr>
          <w:rFonts w:ascii="Verdana" w:hAnsi="Verdana" w:cs="Arial"/>
          <w:sz w:val="22"/>
          <w:szCs w:val="22"/>
        </w:rPr>
      </w:pPr>
      <w:r w:rsidRPr="00F10EFE">
        <w:rPr>
          <w:rFonts w:ascii="Verdana" w:hAnsi="Verdana" w:cs="Arial"/>
          <w:sz w:val="22"/>
          <w:szCs w:val="22"/>
        </w:rPr>
        <w:t>Nota: Esta misma información se diligenciará para todos y cada uno de los inmuebles que hayan sido encontrados, incluyendo tantas casillas como predios haya.</w:t>
      </w:r>
    </w:p>
    <w:p w14:paraId="635D56A4" w14:textId="77777777" w:rsidR="008B3199" w:rsidRPr="00F10EFE" w:rsidRDefault="008B3199" w:rsidP="00F10EFE">
      <w:pPr>
        <w:rPr>
          <w:rFonts w:ascii="Verdana" w:hAnsi="Verdana" w:cs="Arial"/>
          <w:sz w:val="22"/>
          <w:szCs w:val="22"/>
        </w:rPr>
      </w:pPr>
    </w:p>
    <w:p w14:paraId="1F92780D" w14:textId="3821FD0D" w:rsidR="008B3199" w:rsidRDefault="008B3199" w:rsidP="00F10EFE">
      <w:pPr>
        <w:rPr>
          <w:rFonts w:ascii="Verdana" w:hAnsi="Verdana" w:cs="Arial"/>
          <w:sz w:val="22"/>
          <w:szCs w:val="22"/>
        </w:rPr>
      </w:pPr>
      <w:r w:rsidRPr="00F10EFE">
        <w:rPr>
          <w:rFonts w:ascii="Verdana" w:hAnsi="Verdana" w:cs="Arial"/>
          <w:sz w:val="22"/>
          <w:szCs w:val="22"/>
        </w:rPr>
        <w:lastRenderedPageBreak/>
        <w:t>De encontrarse que presentan cruce de propiedades, se deberá hacer el siguiente análisis, como lo requiere la aplicación de los artículos 2.1.2.2.1.1 y 2.1.2.2.2.2 del decreto reglamentario 1077 de 2015:</w:t>
      </w:r>
    </w:p>
    <w:p w14:paraId="12094C99" w14:textId="77777777" w:rsidR="0088178C" w:rsidRPr="00F10EFE" w:rsidRDefault="0088178C" w:rsidP="00F10EFE">
      <w:pPr>
        <w:rPr>
          <w:rFonts w:ascii="Verdana" w:hAnsi="Verdana" w:cs="Arial"/>
          <w:sz w:val="22"/>
          <w:szCs w:val="22"/>
        </w:rPr>
      </w:pPr>
    </w:p>
    <w:p w14:paraId="51144491"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Determinar el destino económico habitacional, del inmueble o inmuebles de propiedad del peticionario o alguno de los miembros de su hogar. Para ello, se deben consultar los Geoportales disponibles de las entidades territoriales y catastrales. </w:t>
      </w:r>
    </w:p>
    <w:p w14:paraId="11975136" w14:textId="77777777" w:rsidR="008B3199" w:rsidRPr="00F10EFE" w:rsidRDefault="008B3199" w:rsidP="00F10EFE">
      <w:pPr>
        <w:rPr>
          <w:rFonts w:ascii="Verdana" w:hAnsi="Verdana" w:cs="Arial"/>
          <w:sz w:val="22"/>
          <w:szCs w:val="22"/>
        </w:rPr>
      </w:pPr>
    </w:p>
    <w:p w14:paraId="7513329F" w14:textId="77777777" w:rsidR="008B3199" w:rsidRPr="00F10EFE" w:rsidRDefault="008B3199" w:rsidP="00F10EFE">
      <w:pPr>
        <w:rPr>
          <w:rFonts w:ascii="Verdana" w:hAnsi="Verdana" w:cs="Arial"/>
          <w:sz w:val="22"/>
          <w:szCs w:val="22"/>
        </w:rPr>
      </w:pPr>
      <w:r w:rsidRPr="00F10EFE">
        <w:rPr>
          <w:rFonts w:ascii="Verdana" w:hAnsi="Verdana" w:cs="Arial"/>
          <w:sz w:val="22"/>
          <w:szCs w:val="22"/>
        </w:rPr>
        <w:t>En caso de no poderse consultar, en los portales antes mencionados, debe solicitarse a la entidad catastral correspondiente, informe el destino económico del mismo.</w:t>
      </w:r>
    </w:p>
    <w:p w14:paraId="7C89EBD4" w14:textId="77777777" w:rsidR="008B3199" w:rsidRPr="00F10EFE" w:rsidRDefault="008B3199" w:rsidP="00F10EFE">
      <w:pPr>
        <w:rPr>
          <w:rFonts w:ascii="Verdana" w:hAnsi="Verdana" w:cs="Arial"/>
          <w:sz w:val="22"/>
          <w:szCs w:val="22"/>
        </w:rPr>
      </w:pPr>
    </w:p>
    <w:p w14:paraId="52291DC6"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Deben ser anexados en la carpeta del expediente: </w:t>
      </w:r>
    </w:p>
    <w:p w14:paraId="0E681537" w14:textId="77777777" w:rsidR="008B3199" w:rsidRPr="00F10EFE" w:rsidRDefault="008B3199" w:rsidP="00F10EFE">
      <w:pPr>
        <w:rPr>
          <w:rFonts w:ascii="Verdana" w:hAnsi="Verdana" w:cs="Arial"/>
          <w:sz w:val="22"/>
          <w:szCs w:val="22"/>
        </w:rPr>
      </w:pPr>
    </w:p>
    <w:p w14:paraId="4A02A21E" w14:textId="77777777" w:rsidR="008B3199" w:rsidRPr="00F10EFE" w:rsidRDefault="008B3199" w:rsidP="00B863F1">
      <w:pPr>
        <w:pStyle w:val="Prrafodelista"/>
        <w:numPr>
          <w:ilvl w:val="0"/>
          <w:numId w:val="23"/>
        </w:numPr>
        <w:ind w:left="709" w:hanging="425"/>
        <w:rPr>
          <w:rFonts w:ascii="Verdana" w:hAnsi="Verdana" w:cs="Arial"/>
          <w:sz w:val="22"/>
          <w:szCs w:val="22"/>
        </w:rPr>
      </w:pPr>
      <w:r w:rsidRPr="00F10EFE">
        <w:rPr>
          <w:rFonts w:ascii="Verdana" w:hAnsi="Verdana" w:cs="Arial"/>
          <w:sz w:val="22"/>
          <w:szCs w:val="22"/>
        </w:rPr>
        <w:t>Todos los reportes de la Ventanilla Única de Registro (VUR)</w:t>
      </w:r>
    </w:p>
    <w:p w14:paraId="62122925" w14:textId="77777777" w:rsidR="008B3199" w:rsidRPr="00F10EFE" w:rsidRDefault="008B3199" w:rsidP="00B863F1">
      <w:pPr>
        <w:pStyle w:val="Prrafodelista"/>
        <w:numPr>
          <w:ilvl w:val="0"/>
          <w:numId w:val="23"/>
        </w:numPr>
        <w:ind w:left="709" w:hanging="425"/>
        <w:rPr>
          <w:rFonts w:ascii="Verdana" w:hAnsi="Verdana" w:cs="Arial"/>
          <w:sz w:val="22"/>
          <w:szCs w:val="22"/>
        </w:rPr>
      </w:pPr>
      <w:r w:rsidRPr="00F10EFE">
        <w:rPr>
          <w:rFonts w:ascii="Verdana" w:hAnsi="Verdana" w:cs="Arial"/>
          <w:sz w:val="22"/>
          <w:szCs w:val="22"/>
        </w:rPr>
        <w:t>Los soportes que acrediten el tipo de inmueble, entre otros, lote de cementerio, parqueaderos, bodegas, locales comerciales, etc</w:t>
      </w:r>
    </w:p>
    <w:p w14:paraId="6DC15EE2" w14:textId="77777777" w:rsidR="008B3199" w:rsidRPr="00F10EFE" w:rsidRDefault="008B3199" w:rsidP="00B863F1">
      <w:pPr>
        <w:pStyle w:val="Prrafodelista"/>
        <w:numPr>
          <w:ilvl w:val="0"/>
          <w:numId w:val="23"/>
        </w:numPr>
        <w:ind w:left="709" w:hanging="425"/>
        <w:rPr>
          <w:rFonts w:ascii="Verdana" w:hAnsi="Verdana" w:cs="Arial"/>
          <w:sz w:val="22"/>
          <w:szCs w:val="22"/>
        </w:rPr>
      </w:pPr>
      <w:r w:rsidRPr="00F10EFE">
        <w:rPr>
          <w:rFonts w:ascii="Verdana" w:hAnsi="Verdana" w:cs="Arial"/>
          <w:sz w:val="22"/>
          <w:szCs w:val="22"/>
        </w:rPr>
        <w:t>Los soportes con los que se acredite o se verifique el destino económico.</w:t>
      </w:r>
    </w:p>
    <w:p w14:paraId="2E61FA44" w14:textId="77777777" w:rsidR="008B3199" w:rsidRPr="00F10EFE" w:rsidRDefault="008B3199" w:rsidP="00F10EFE">
      <w:pPr>
        <w:pStyle w:val="Prrafodelista"/>
        <w:ind w:left="0"/>
        <w:rPr>
          <w:rFonts w:ascii="Verdana" w:hAnsi="Verdana" w:cs="Arial"/>
          <w:sz w:val="22"/>
          <w:szCs w:val="22"/>
        </w:rPr>
      </w:pPr>
    </w:p>
    <w:p w14:paraId="7FCAC769" w14:textId="77777777" w:rsidR="008B3199" w:rsidRPr="00F10EFE" w:rsidRDefault="008B3199" w:rsidP="00F10EFE">
      <w:pPr>
        <w:rPr>
          <w:rFonts w:ascii="Verdana" w:hAnsi="Verdana" w:cs="Arial"/>
          <w:sz w:val="22"/>
          <w:szCs w:val="22"/>
        </w:rPr>
      </w:pPr>
      <w:r w:rsidRPr="00F10EFE">
        <w:rPr>
          <w:rFonts w:ascii="Verdana" w:hAnsi="Verdana" w:cs="Arial"/>
          <w:sz w:val="22"/>
          <w:szCs w:val="22"/>
        </w:rPr>
        <w:t>Explicado lo anterior, se marca con una “X” o se rellena el campo correspondiente a:</w:t>
      </w:r>
    </w:p>
    <w:p w14:paraId="2150F6A4" w14:textId="77777777" w:rsidR="008B3199" w:rsidRPr="00F10EFE" w:rsidRDefault="008B3199" w:rsidP="00F10EFE">
      <w:pPr>
        <w:rPr>
          <w:rFonts w:ascii="Verdana" w:hAnsi="Verdana" w:cs="Arial"/>
          <w:sz w:val="22"/>
          <w:szCs w:val="22"/>
        </w:rPr>
      </w:pPr>
    </w:p>
    <w:p w14:paraId="3A12AFD8" w14:textId="77777777" w:rsidR="008B3199" w:rsidRPr="00F10EFE" w:rsidRDefault="008B3199" w:rsidP="00F10EFE">
      <w:pPr>
        <w:rPr>
          <w:rFonts w:ascii="Verdana" w:hAnsi="Verdana" w:cs="Arial"/>
          <w:b/>
          <w:sz w:val="22"/>
          <w:szCs w:val="22"/>
        </w:rPr>
      </w:pPr>
      <w:r w:rsidRPr="00F10EFE">
        <w:rPr>
          <w:rFonts w:ascii="Verdana" w:hAnsi="Verdana" w:cs="Arial"/>
          <w:b/>
          <w:sz w:val="22"/>
          <w:szCs w:val="22"/>
        </w:rPr>
        <w:t>¿El (los) peticionario (s) o algún miembro de su hogar, es (son) propietario (s) de predio(s) cuyo destino sea vivienda o habitacional?</w:t>
      </w:r>
    </w:p>
    <w:p w14:paraId="79F0C922" w14:textId="77777777" w:rsidR="008B3199" w:rsidRPr="00F10EFE" w:rsidRDefault="008B3199" w:rsidP="00F10EFE">
      <w:pPr>
        <w:rPr>
          <w:rFonts w:ascii="Verdana" w:hAnsi="Verdana" w:cs="Arial"/>
          <w:sz w:val="22"/>
          <w:szCs w:val="22"/>
        </w:rPr>
      </w:pPr>
    </w:p>
    <w:p w14:paraId="25610B20" w14:textId="77777777" w:rsidR="008B3199" w:rsidRPr="00F10EFE" w:rsidRDefault="008B3199" w:rsidP="00F10EFE">
      <w:pPr>
        <w:rPr>
          <w:rFonts w:ascii="Verdana" w:hAnsi="Verdana" w:cs="Arial"/>
          <w:sz w:val="22"/>
          <w:szCs w:val="22"/>
        </w:rPr>
      </w:pPr>
      <w:r w:rsidRPr="00F10EFE">
        <w:rPr>
          <w:rFonts w:ascii="Verdana" w:hAnsi="Verdana" w:cs="Arial"/>
          <w:sz w:val="22"/>
          <w:szCs w:val="22"/>
        </w:rPr>
        <w:t>A la respuesta “SI” o “NO”. Se marcará “SI”, cuando el o los solicitantes o algún miembro de su hogar, sean propietarios de otros bienes inmuebles ubicados dentro del territorio nacional, con destino vivienda o habitacional, a la fecha de postulación, entendiendo por ella, en la que se acreditó el cumplimiento de los requisitos necesarios para iniciar el trámite administrativo de cesión, , excepto el avalúo, en caso que se vislumbre una posible terminación de actuación administrativa por hecho diferente a la superación del tope VIS. Será “NO” en caso contrario.</w:t>
      </w:r>
    </w:p>
    <w:p w14:paraId="16F48226" w14:textId="77777777" w:rsidR="008B3199" w:rsidRPr="00F10EFE" w:rsidRDefault="008B3199" w:rsidP="00F10EFE">
      <w:pPr>
        <w:rPr>
          <w:rFonts w:ascii="Verdana" w:hAnsi="Verdana" w:cs="Arial"/>
          <w:sz w:val="22"/>
          <w:szCs w:val="22"/>
        </w:rPr>
      </w:pPr>
    </w:p>
    <w:p w14:paraId="3D31B622" w14:textId="77777777" w:rsidR="008B3199" w:rsidRPr="00F10EFE" w:rsidRDefault="008B3199" w:rsidP="00F10EFE">
      <w:pPr>
        <w:rPr>
          <w:rFonts w:ascii="Verdana" w:hAnsi="Verdana" w:cs="Arial"/>
          <w:b/>
          <w:sz w:val="22"/>
          <w:szCs w:val="22"/>
        </w:rPr>
      </w:pPr>
      <w:r w:rsidRPr="00F10EFE">
        <w:rPr>
          <w:rFonts w:ascii="Verdana" w:hAnsi="Verdana" w:cs="Arial"/>
          <w:b/>
          <w:sz w:val="22"/>
          <w:szCs w:val="22"/>
        </w:rPr>
        <w:t xml:space="preserve">Observaciones: </w:t>
      </w:r>
      <w:r w:rsidRPr="00F10EFE">
        <w:rPr>
          <w:rFonts w:ascii="Verdana" w:hAnsi="Verdana" w:cs="Arial"/>
          <w:sz w:val="22"/>
          <w:szCs w:val="22"/>
        </w:rPr>
        <w:t>Las que el profesional considere oportunas, relacionadas esta sección.</w:t>
      </w:r>
    </w:p>
    <w:p w14:paraId="37251762" w14:textId="77777777" w:rsidR="008B3199" w:rsidRPr="00F10EFE" w:rsidRDefault="008B3199" w:rsidP="00F10EFE">
      <w:pPr>
        <w:rPr>
          <w:rFonts w:ascii="Verdana" w:hAnsi="Verdana" w:cs="Arial"/>
          <w:sz w:val="22"/>
          <w:szCs w:val="22"/>
        </w:rPr>
      </w:pPr>
    </w:p>
    <w:p w14:paraId="24FEED0F" w14:textId="77777777" w:rsidR="008B3199" w:rsidRPr="00F10EFE" w:rsidRDefault="008B3199" w:rsidP="00C42376">
      <w:pPr>
        <w:pStyle w:val="Subttulo"/>
        <w:numPr>
          <w:ilvl w:val="0"/>
          <w:numId w:val="0"/>
        </w:numPr>
        <w:spacing w:after="0"/>
        <w:rPr>
          <w:rFonts w:ascii="Verdana" w:hAnsi="Verdana"/>
          <w:sz w:val="22"/>
          <w:szCs w:val="22"/>
        </w:rPr>
      </w:pPr>
      <w:bookmarkStart w:id="9" w:name="_Toc531360107"/>
      <w:bookmarkStart w:id="10" w:name="_Hlk522112260"/>
      <w:r w:rsidRPr="00F10EFE">
        <w:rPr>
          <w:rFonts w:ascii="Verdana" w:hAnsi="Verdana"/>
          <w:sz w:val="22"/>
          <w:szCs w:val="22"/>
        </w:rPr>
        <w:t>SECCIÓN 9: REPORTE DEL SISTEMA DE INFORMACIÓN DE FONVIVIENDA</w:t>
      </w:r>
      <w:bookmarkEnd w:id="9"/>
    </w:p>
    <w:bookmarkEnd w:id="10"/>
    <w:p w14:paraId="62D925D9" w14:textId="77777777" w:rsidR="008B3199" w:rsidRPr="00F10EFE" w:rsidRDefault="008B3199" w:rsidP="00F10EFE">
      <w:pPr>
        <w:rPr>
          <w:rFonts w:ascii="Verdana" w:hAnsi="Verdana" w:cs="Arial"/>
          <w:sz w:val="22"/>
          <w:szCs w:val="22"/>
        </w:rPr>
      </w:pPr>
    </w:p>
    <w:p w14:paraId="3F8DE806" w14:textId="77777777" w:rsidR="008B3199" w:rsidRPr="00F10EFE" w:rsidRDefault="008B3199" w:rsidP="00F10EFE">
      <w:pPr>
        <w:rPr>
          <w:rFonts w:ascii="Verdana" w:hAnsi="Verdana" w:cs="Arial"/>
          <w:sz w:val="22"/>
          <w:szCs w:val="22"/>
        </w:rPr>
      </w:pPr>
      <w:r w:rsidRPr="00F10EFE">
        <w:rPr>
          <w:rFonts w:ascii="Verdana" w:hAnsi="Verdana" w:cs="Arial"/>
          <w:sz w:val="22"/>
          <w:szCs w:val="22"/>
        </w:rPr>
        <w:t>El reporte de cruce de propiedad por FONVIVIENDA se efectúa conforme lo establecido en el artículo 2.1.2.2.2.7. “Cruce y validación ante FONVIVIENDA”.</w:t>
      </w:r>
    </w:p>
    <w:p w14:paraId="420B0120" w14:textId="77777777" w:rsidR="008B3199" w:rsidRPr="00F10EFE" w:rsidRDefault="008B3199" w:rsidP="00F10EFE">
      <w:pPr>
        <w:rPr>
          <w:rFonts w:ascii="Verdana" w:hAnsi="Verdana" w:cs="Arial"/>
          <w:sz w:val="22"/>
          <w:szCs w:val="22"/>
        </w:rPr>
      </w:pPr>
    </w:p>
    <w:p w14:paraId="3B370563"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b/>
          <w:sz w:val="22"/>
          <w:szCs w:val="22"/>
        </w:rPr>
        <w:lastRenderedPageBreak/>
        <w:t>Nota:</w:t>
      </w:r>
      <w:r w:rsidRPr="00F10EFE">
        <w:rPr>
          <w:rFonts w:ascii="Verdana" w:hAnsi="Verdana" w:cs="Arial"/>
          <w:sz w:val="22"/>
          <w:szCs w:val="22"/>
        </w:rPr>
        <w:t xml:space="preserve"> Es importante resaltar, que se debe verificar que los ocupantes del predio objeto de solicitud no deben haber sido beneficiados en el pasado con otros programas de la Nación para la adquisición o construcción de vivienda. </w:t>
      </w:r>
    </w:p>
    <w:p w14:paraId="48D67BDC" w14:textId="77777777" w:rsidR="008B3199" w:rsidRPr="00F10EFE" w:rsidRDefault="008B3199" w:rsidP="00F10EFE">
      <w:pPr>
        <w:pStyle w:val="Prrafodelista"/>
        <w:ind w:left="0"/>
        <w:rPr>
          <w:rFonts w:ascii="Verdana" w:hAnsi="Verdana" w:cs="Arial"/>
          <w:sz w:val="22"/>
          <w:szCs w:val="22"/>
        </w:rPr>
      </w:pPr>
    </w:p>
    <w:p w14:paraId="675A790B"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sz w:val="22"/>
          <w:szCs w:val="22"/>
        </w:rPr>
        <w:t xml:space="preserve">La consulta beneficios y/o subsidios, también se realizará por medio de las herramientas dispuestas para ello en aplicativo ICT-INURBE. </w:t>
      </w:r>
    </w:p>
    <w:p w14:paraId="14E277D6" w14:textId="77777777" w:rsidR="008B3199" w:rsidRPr="00F10EFE" w:rsidRDefault="008B3199" w:rsidP="00F10EFE">
      <w:pPr>
        <w:pStyle w:val="Prrafodelista"/>
        <w:ind w:left="0"/>
        <w:rPr>
          <w:rFonts w:ascii="Verdana" w:hAnsi="Verdana" w:cs="Arial"/>
          <w:sz w:val="22"/>
          <w:szCs w:val="22"/>
        </w:rPr>
      </w:pPr>
    </w:p>
    <w:p w14:paraId="4F1C023E"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sz w:val="22"/>
          <w:szCs w:val="22"/>
        </w:rPr>
        <w:t xml:space="preserve">En el estudio de viabilidad técnica debe consignarse la fecha en la que se efectuaron las consultas, en el espacio designado para tal fin y se marca con una “X” o se rellena el espacio “SI” o “NO”, según corresponda. </w:t>
      </w:r>
    </w:p>
    <w:p w14:paraId="008ED287" w14:textId="77777777" w:rsidR="008B3199" w:rsidRPr="00F10EFE" w:rsidRDefault="008B3199" w:rsidP="00F10EFE">
      <w:pPr>
        <w:pStyle w:val="Prrafodelista"/>
        <w:ind w:left="0"/>
        <w:rPr>
          <w:rFonts w:ascii="Verdana" w:hAnsi="Verdana" w:cs="Arial"/>
          <w:sz w:val="22"/>
          <w:szCs w:val="22"/>
        </w:rPr>
      </w:pPr>
    </w:p>
    <w:p w14:paraId="022F3BE5"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sz w:val="22"/>
          <w:szCs w:val="22"/>
        </w:rPr>
        <w:t xml:space="preserve">Nota: Se debe tener en cuenta que algunos de los beneficios otorgados por el ICT o el INURBE, hacen referencia a obligaciones identificadas mediante los códigos internos de “Obligación Hipotecaria - OH” </w:t>
      </w:r>
    </w:p>
    <w:p w14:paraId="6919722B" w14:textId="77777777" w:rsidR="008B3199" w:rsidRPr="00F10EFE" w:rsidRDefault="008B3199" w:rsidP="00F10EFE">
      <w:pPr>
        <w:pStyle w:val="Prrafodelista"/>
        <w:ind w:left="0"/>
        <w:rPr>
          <w:rFonts w:ascii="Verdana" w:hAnsi="Verdana" w:cs="Arial"/>
          <w:sz w:val="22"/>
          <w:szCs w:val="22"/>
        </w:rPr>
      </w:pPr>
    </w:p>
    <w:p w14:paraId="103DC6E2"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sz w:val="22"/>
          <w:szCs w:val="22"/>
        </w:rPr>
        <w:t>De encontrar cruce de subsidios y/o beneficios en FONVIVIENDA, no será viable ceder a título gratuito el bien inmueble objeto de la solicitud.</w:t>
      </w:r>
    </w:p>
    <w:p w14:paraId="2D037C82" w14:textId="77777777" w:rsidR="008B3199" w:rsidRPr="00F10EFE" w:rsidRDefault="008B3199" w:rsidP="00F10EFE">
      <w:pPr>
        <w:pStyle w:val="Prrafodelista"/>
        <w:ind w:left="0"/>
        <w:rPr>
          <w:rFonts w:ascii="Verdana" w:hAnsi="Verdana" w:cs="Arial"/>
          <w:sz w:val="22"/>
          <w:szCs w:val="22"/>
        </w:rPr>
      </w:pPr>
    </w:p>
    <w:p w14:paraId="79CC47BD" w14:textId="77777777" w:rsidR="008B3199" w:rsidRPr="00F10EFE" w:rsidRDefault="008B3199" w:rsidP="00F10EFE">
      <w:pPr>
        <w:pStyle w:val="Sinespaciado"/>
        <w:ind w:left="0"/>
        <w:rPr>
          <w:rFonts w:cs="Arial"/>
          <w:color w:val="auto"/>
          <w:sz w:val="22"/>
          <w:szCs w:val="22"/>
        </w:rPr>
      </w:pPr>
      <w:r w:rsidRPr="00F10EFE">
        <w:rPr>
          <w:rFonts w:cs="Arial"/>
          <w:b/>
          <w:color w:val="auto"/>
          <w:sz w:val="22"/>
          <w:szCs w:val="22"/>
        </w:rPr>
        <w:t>Descripción del Beneficio Otorgado:</w:t>
      </w:r>
      <w:r w:rsidRPr="00F10EFE">
        <w:rPr>
          <w:rFonts w:cs="Arial"/>
          <w:color w:val="auto"/>
          <w:sz w:val="22"/>
          <w:szCs w:val="22"/>
        </w:rPr>
        <w:t xml:space="preserve"> En este ítem debe consignarse la descripción detallada del beneficio recibido por los ocupantes y/o solicitantes o los miembros de su hogar, según lo definido en el artículo 2.1.2.2.2.7 del decreto 1077 de 2015 y/o la norma que lo modifique o sustituya.</w:t>
      </w:r>
    </w:p>
    <w:p w14:paraId="2CE90690" w14:textId="77777777" w:rsidR="008B3199" w:rsidRPr="00F10EFE" w:rsidRDefault="008B3199" w:rsidP="00F10EFE">
      <w:pPr>
        <w:pStyle w:val="Prrafodelista"/>
        <w:ind w:left="0"/>
        <w:rPr>
          <w:rFonts w:ascii="Verdana" w:hAnsi="Verdana" w:cs="Arial"/>
          <w:sz w:val="22"/>
          <w:szCs w:val="22"/>
        </w:rPr>
      </w:pPr>
    </w:p>
    <w:p w14:paraId="02AD812E"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b/>
          <w:sz w:val="22"/>
          <w:szCs w:val="22"/>
        </w:rPr>
        <w:t>Nota:</w:t>
      </w:r>
      <w:r w:rsidRPr="00F10EFE">
        <w:rPr>
          <w:rFonts w:ascii="Verdana" w:hAnsi="Verdana" w:cs="Arial"/>
          <w:sz w:val="22"/>
          <w:szCs w:val="22"/>
        </w:rPr>
        <w:t xml:space="preserve"> La información de las OH se solicitará a la unidad encargada de resguardar esta información dentro del Ministerio de Vivienda, Ciudad y Territorio.</w:t>
      </w:r>
    </w:p>
    <w:p w14:paraId="55418465" w14:textId="77777777" w:rsidR="008B3199" w:rsidRPr="00F10EFE" w:rsidRDefault="008B3199" w:rsidP="00F10EFE">
      <w:pPr>
        <w:pStyle w:val="Prrafodelista"/>
        <w:ind w:left="0"/>
        <w:rPr>
          <w:rFonts w:ascii="Verdana" w:hAnsi="Verdana" w:cs="Arial"/>
          <w:sz w:val="22"/>
          <w:szCs w:val="22"/>
        </w:rPr>
      </w:pPr>
    </w:p>
    <w:p w14:paraId="4D8109DC" w14:textId="77777777" w:rsidR="008B3199" w:rsidRPr="00F10EFE" w:rsidRDefault="008B3199" w:rsidP="00F10EFE">
      <w:pPr>
        <w:pStyle w:val="Prrafodelista"/>
        <w:ind w:left="0"/>
        <w:rPr>
          <w:rFonts w:ascii="Verdana" w:hAnsi="Verdana" w:cs="Arial"/>
          <w:sz w:val="22"/>
          <w:szCs w:val="22"/>
        </w:rPr>
      </w:pPr>
      <w:r w:rsidRPr="00F10EFE">
        <w:rPr>
          <w:rFonts w:ascii="Verdana" w:hAnsi="Verdana" w:cs="Arial"/>
          <w:sz w:val="22"/>
          <w:szCs w:val="22"/>
        </w:rPr>
        <w:t>Para emitir el concepto se debe tener en cuenta lo establecido en el artículo 2.1.1.1.1.3.3.1.2 del decreto 1077 de 2015.</w:t>
      </w:r>
    </w:p>
    <w:p w14:paraId="6A640E5E" w14:textId="77777777" w:rsidR="008B3199" w:rsidRPr="00F10EFE" w:rsidRDefault="008B3199" w:rsidP="00F10EFE">
      <w:pPr>
        <w:pStyle w:val="Prrafodelista"/>
        <w:ind w:left="0"/>
        <w:rPr>
          <w:rFonts w:ascii="Verdana" w:hAnsi="Verdana" w:cs="Arial"/>
          <w:sz w:val="22"/>
          <w:szCs w:val="22"/>
        </w:rPr>
      </w:pPr>
    </w:p>
    <w:p w14:paraId="1B881700" w14:textId="77777777" w:rsidR="008B3199" w:rsidRPr="00F10EFE" w:rsidRDefault="008B3199" w:rsidP="00DC0FBB">
      <w:pPr>
        <w:pStyle w:val="Subttulo"/>
        <w:numPr>
          <w:ilvl w:val="0"/>
          <w:numId w:val="0"/>
        </w:numPr>
        <w:spacing w:after="0"/>
        <w:rPr>
          <w:rFonts w:ascii="Verdana" w:hAnsi="Verdana"/>
          <w:sz w:val="22"/>
          <w:szCs w:val="22"/>
        </w:rPr>
      </w:pPr>
      <w:bookmarkStart w:id="11" w:name="_Toc531360108"/>
      <w:r w:rsidRPr="00F10EFE">
        <w:rPr>
          <w:rFonts w:ascii="Verdana" w:hAnsi="Verdana"/>
          <w:sz w:val="22"/>
          <w:szCs w:val="22"/>
        </w:rPr>
        <w:t>SECCIÓN 10: CONCLUSIONES</w:t>
      </w:r>
      <w:bookmarkEnd w:id="11"/>
    </w:p>
    <w:p w14:paraId="4EE70F39" w14:textId="77777777" w:rsidR="008B3199" w:rsidRPr="00F10EFE" w:rsidRDefault="008B3199" w:rsidP="00F10EFE">
      <w:pPr>
        <w:rPr>
          <w:rFonts w:ascii="Verdana" w:hAnsi="Verdana" w:cs="Arial"/>
          <w:sz w:val="22"/>
          <w:szCs w:val="22"/>
        </w:rPr>
      </w:pPr>
    </w:p>
    <w:p w14:paraId="113FEEB4" w14:textId="77777777" w:rsidR="008B3199" w:rsidRPr="00F10EFE" w:rsidRDefault="008B3199" w:rsidP="00F10EFE">
      <w:pPr>
        <w:rPr>
          <w:rFonts w:ascii="Verdana" w:hAnsi="Verdana" w:cs="Arial"/>
          <w:sz w:val="22"/>
          <w:szCs w:val="22"/>
        </w:rPr>
      </w:pPr>
      <w:r w:rsidRPr="00F10EFE">
        <w:rPr>
          <w:rFonts w:ascii="Verdana" w:hAnsi="Verdana" w:cs="Arial"/>
          <w:sz w:val="22"/>
          <w:szCs w:val="22"/>
        </w:rPr>
        <w:t>Este espacio está orientado, para que el profesional técnico designado, analice las variables del estudio de viabilidad técnica antes mencionadas, y concluya si cumple o no con los requisitos establecidos en el artículo 2° de la Ley 1001 de 2005, a saber:</w:t>
      </w:r>
    </w:p>
    <w:p w14:paraId="5CB51F91" w14:textId="77777777" w:rsidR="008B3199" w:rsidRPr="00F10EFE" w:rsidRDefault="008B3199" w:rsidP="00F10EFE">
      <w:pPr>
        <w:rPr>
          <w:rFonts w:ascii="Verdana" w:hAnsi="Verdana" w:cs="Arial"/>
          <w:sz w:val="22"/>
          <w:szCs w:val="22"/>
        </w:rPr>
      </w:pPr>
    </w:p>
    <w:p w14:paraId="2B88F603" w14:textId="77777777" w:rsidR="008B3199" w:rsidRPr="00F10EFE" w:rsidRDefault="008B3199" w:rsidP="00B863F1">
      <w:pPr>
        <w:pStyle w:val="Prrafodelista"/>
        <w:numPr>
          <w:ilvl w:val="0"/>
          <w:numId w:val="24"/>
        </w:numPr>
        <w:ind w:left="709" w:hanging="283"/>
        <w:rPr>
          <w:rFonts w:ascii="Verdana" w:hAnsi="Verdana" w:cs="Arial"/>
          <w:sz w:val="22"/>
          <w:szCs w:val="22"/>
        </w:rPr>
      </w:pPr>
      <w:r w:rsidRPr="00F10EFE">
        <w:rPr>
          <w:rFonts w:ascii="Verdana" w:hAnsi="Verdana" w:cs="Arial"/>
          <w:sz w:val="22"/>
          <w:szCs w:val="22"/>
        </w:rPr>
        <w:t>Uso y Destino Económico.</w:t>
      </w:r>
    </w:p>
    <w:p w14:paraId="40529FFD" w14:textId="77777777" w:rsidR="008B3199" w:rsidRPr="00F10EFE" w:rsidRDefault="008B3199" w:rsidP="00B863F1">
      <w:pPr>
        <w:pStyle w:val="Prrafodelista"/>
        <w:numPr>
          <w:ilvl w:val="0"/>
          <w:numId w:val="24"/>
        </w:numPr>
        <w:ind w:left="709" w:hanging="283"/>
        <w:rPr>
          <w:rFonts w:ascii="Verdana" w:hAnsi="Verdana" w:cs="Arial"/>
          <w:sz w:val="22"/>
          <w:szCs w:val="22"/>
        </w:rPr>
      </w:pPr>
      <w:r w:rsidRPr="00F10EFE">
        <w:rPr>
          <w:rFonts w:ascii="Verdana" w:hAnsi="Verdana" w:cs="Arial"/>
          <w:sz w:val="22"/>
          <w:szCs w:val="22"/>
        </w:rPr>
        <w:t>Afectaciones viales.</w:t>
      </w:r>
    </w:p>
    <w:p w14:paraId="3CD09104" w14:textId="77777777" w:rsidR="008B3199" w:rsidRPr="00F10EFE" w:rsidRDefault="008B3199" w:rsidP="00B863F1">
      <w:pPr>
        <w:pStyle w:val="Prrafodelista"/>
        <w:numPr>
          <w:ilvl w:val="0"/>
          <w:numId w:val="24"/>
        </w:numPr>
        <w:ind w:left="709" w:hanging="283"/>
        <w:rPr>
          <w:rFonts w:ascii="Verdana" w:hAnsi="Verdana" w:cs="Arial"/>
          <w:sz w:val="22"/>
          <w:szCs w:val="22"/>
        </w:rPr>
      </w:pPr>
      <w:r w:rsidRPr="00F10EFE">
        <w:rPr>
          <w:rFonts w:ascii="Verdana" w:hAnsi="Verdana" w:cs="Arial"/>
          <w:sz w:val="22"/>
          <w:szCs w:val="22"/>
        </w:rPr>
        <w:t>Riesgos y/o Amenazas.</w:t>
      </w:r>
    </w:p>
    <w:p w14:paraId="285813B5" w14:textId="77777777" w:rsidR="008B3199" w:rsidRPr="00F10EFE" w:rsidRDefault="008B3199" w:rsidP="00B863F1">
      <w:pPr>
        <w:pStyle w:val="Prrafodelista"/>
        <w:numPr>
          <w:ilvl w:val="0"/>
          <w:numId w:val="24"/>
        </w:numPr>
        <w:ind w:left="709" w:hanging="283"/>
        <w:rPr>
          <w:rFonts w:ascii="Verdana" w:hAnsi="Verdana" w:cs="Arial"/>
          <w:sz w:val="22"/>
          <w:szCs w:val="22"/>
        </w:rPr>
      </w:pPr>
      <w:r w:rsidRPr="00F10EFE">
        <w:rPr>
          <w:rFonts w:ascii="Verdana" w:hAnsi="Verdana" w:cs="Arial"/>
          <w:sz w:val="22"/>
          <w:szCs w:val="22"/>
        </w:rPr>
        <w:t>Mitigabilidad del Riesgo y/o Amenazas.</w:t>
      </w:r>
    </w:p>
    <w:p w14:paraId="55F8C4A5" w14:textId="77777777" w:rsidR="008B3199" w:rsidRPr="00F10EFE" w:rsidRDefault="008B3199" w:rsidP="00B863F1">
      <w:pPr>
        <w:pStyle w:val="Prrafodelista"/>
        <w:numPr>
          <w:ilvl w:val="0"/>
          <w:numId w:val="24"/>
        </w:numPr>
        <w:ind w:left="709" w:hanging="283"/>
        <w:rPr>
          <w:rFonts w:ascii="Verdana" w:hAnsi="Verdana" w:cs="Arial"/>
          <w:sz w:val="22"/>
          <w:szCs w:val="22"/>
        </w:rPr>
      </w:pPr>
      <w:r w:rsidRPr="00F10EFE">
        <w:rPr>
          <w:rFonts w:ascii="Verdana" w:hAnsi="Verdana" w:cs="Arial"/>
          <w:sz w:val="22"/>
          <w:szCs w:val="22"/>
        </w:rPr>
        <w:t>Carácter de Vivienda de Interés Social – VIS.</w:t>
      </w:r>
    </w:p>
    <w:p w14:paraId="439CC921" w14:textId="77777777" w:rsidR="008B3199" w:rsidRPr="00F10EFE" w:rsidRDefault="008B3199" w:rsidP="00B863F1">
      <w:pPr>
        <w:pStyle w:val="Prrafodelista"/>
        <w:numPr>
          <w:ilvl w:val="0"/>
          <w:numId w:val="24"/>
        </w:numPr>
        <w:ind w:left="709" w:hanging="283"/>
        <w:rPr>
          <w:rFonts w:ascii="Verdana" w:hAnsi="Verdana" w:cs="Arial"/>
          <w:sz w:val="22"/>
          <w:szCs w:val="22"/>
        </w:rPr>
      </w:pPr>
      <w:r w:rsidRPr="00F10EFE">
        <w:rPr>
          <w:rFonts w:ascii="Verdana" w:hAnsi="Verdana" w:cs="Arial"/>
          <w:sz w:val="22"/>
          <w:szCs w:val="22"/>
        </w:rPr>
        <w:lastRenderedPageBreak/>
        <w:t>Cruce de propiedades habitacionales o de vivienda dentro del territorio nacional.</w:t>
      </w:r>
    </w:p>
    <w:p w14:paraId="70DCD2FF" w14:textId="77777777" w:rsidR="008B3199" w:rsidRPr="00F10EFE" w:rsidRDefault="008B3199" w:rsidP="00B863F1">
      <w:pPr>
        <w:pStyle w:val="Prrafodelista"/>
        <w:numPr>
          <w:ilvl w:val="0"/>
          <w:numId w:val="24"/>
        </w:numPr>
        <w:ind w:left="709" w:hanging="283"/>
        <w:rPr>
          <w:rFonts w:ascii="Verdana" w:hAnsi="Verdana" w:cs="Arial"/>
          <w:sz w:val="22"/>
          <w:szCs w:val="22"/>
        </w:rPr>
      </w:pPr>
      <w:r w:rsidRPr="00F10EFE">
        <w:rPr>
          <w:rFonts w:ascii="Verdana" w:hAnsi="Verdana" w:cs="Arial"/>
          <w:sz w:val="22"/>
          <w:szCs w:val="22"/>
        </w:rPr>
        <w:t>Cruce del Sistema de Información de FONVIVIENDA.</w:t>
      </w:r>
    </w:p>
    <w:p w14:paraId="629782EF" w14:textId="77777777" w:rsidR="008B3199" w:rsidRPr="00F10EFE" w:rsidRDefault="008B3199" w:rsidP="00F10EFE">
      <w:pPr>
        <w:rPr>
          <w:rFonts w:ascii="Verdana" w:hAnsi="Verdana" w:cs="Arial"/>
          <w:sz w:val="22"/>
          <w:szCs w:val="22"/>
        </w:rPr>
      </w:pPr>
    </w:p>
    <w:p w14:paraId="6987063B" w14:textId="77777777" w:rsidR="008B3199" w:rsidRPr="00F10EFE" w:rsidRDefault="008B3199" w:rsidP="00DC0FBB">
      <w:pPr>
        <w:pStyle w:val="Subttulo"/>
        <w:numPr>
          <w:ilvl w:val="0"/>
          <w:numId w:val="0"/>
        </w:numPr>
        <w:spacing w:after="0"/>
        <w:rPr>
          <w:rFonts w:ascii="Verdana" w:hAnsi="Verdana"/>
          <w:sz w:val="22"/>
          <w:szCs w:val="22"/>
        </w:rPr>
      </w:pPr>
      <w:bookmarkStart w:id="12" w:name="_Toc531360109"/>
      <w:r w:rsidRPr="00F10EFE">
        <w:rPr>
          <w:rFonts w:ascii="Verdana" w:hAnsi="Verdana"/>
          <w:sz w:val="22"/>
          <w:szCs w:val="22"/>
        </w:rPr>
        <w:t>SECCIÓN 11: VIABILIDAD TÉCNICA PARA CEDER A TÍTULO GRATUITO</w:t>
      </w:r>
      <w:bookmarkEnd w:id="12"/>
    </w:p>
    <w:p w14:paraId="7C06E57D" w14:textId="77777777" w:rsidR="008B3199" w:rsidRPr="00F10EFE" w:rsidRDefault="008B3199" w:rsidP="00F10EFE">
      <w:pPr>
        <w:rPr>
          <w:rFonts w:ascii="Verdana" w:hAnsi="Verdana" w:cs="Arial"/>
          <w:sz w:val="22"/>
          <w:szCs w:val="22"/>
        </w:rPr>
      </w:pPr>
    </w:p>
    <w:p w14:paraId="7E1EDDD5" w14:textId="24AB581C" w:rsidR="008B3199" w:rsidRPr="00F10EFE" w:rsidRDefault="008B3199" w:rsidP="00F10EFE">
      <w:pPr>
        <w:rPr>
          <w:rFonts w:ascii="Verdana" w:hAnsi="Verdana" w:cs="Arial"/>
          <w:sz w:val="22"/>
          <w:szCs w:val="22"/>
        </w:rPr>
      </w:pPr>
      <w:r w:rsidRPr="00F10EFE">
        <w:rPr>
          <w:rFonts w:ascii="Verdana" w:hAnsi="Verdana" w:cs="Arial"/>
          <w:sz w:val="22"/>
          <w:szCs w:val="22"/>
        </w:rPr>
        <w:t>En esta sección se consignará si es “VIABLE” o “NO VIABLE” la cesión a título gratuito del bien inmueble, en virtud del artículo 2 de la Ley 1001 de 2005, a favor del o los solicitantes.</w:t>
      </w:r>
    </w:p>
    <w:p w14:paraId="013128AC" w14:textId="77777777" w:rsidR="008B3199" w:rsidRPr="00F10EFE" w:rsidRDefault="008B3199" w:rsidP="00F10EFE">
      <w:pPr>
        <w:rPr>
          <w:rFonts w:ascii="Verdana" w:hAnsi="Verdana" w:cs="Arial"/>
          <w:sz w:val="22"/>
          <w:szCs w:val="22"/>
        </w:rPr>
      </w:pPr>
      <w:r w:rsidRPr="00F10EFE">
        <w:rPr>
          <w:rFonts w:ascii="Verdana" w:hAnsi="Verdana" w:cs="Arial"/>
          <w:sz w:val="22"/>
          <w:szCs w:val="22"/>
        </w:rPr>
        <w:t>Teniendo en cuenta la evaluación de las condiciones en cada una de las secciones de la viabilidad técnica, la solicitud puede ser:</w:t>
      </w:r>
    </w:p>
    <w:p w14:paraId="55F1FE5D" w14:textId="77777777" w:rsidR="008B3199" w:rsidRPr="00F10EFE" w:rsidRDefault="008B3199" w:rsidP="00F10EFE">
      <w:pPr>
        <w:rPr>
          <w:rFonts w:ascii="Verdana" w:hAnsi="Verdana" w:cs="Arial"/>
          <w:sz w:val="22"/>
          <w:szCs w:val="22"/>
        </w:rPr>
      </w:pPr>
    </w:p>
    <w:p w14:paraId="3FB81240" w14:textId="77777777" w:rsidR="008B3199" w:rsidRPr="00F10EFE" w:rsidRDefault="008B3199" w:rsidP="00F10EFE">
      <w:pPr>
        <w:rPr>
          <w:rFonts w:ascii="Verdana" w:hAnsi="Verdana" w:cs="Arial"/>
          <w:sz w:val="22"/>
          <w:szCs w:val="22"/>
        </w:rPr>
      </w:pPr>
      <w:r w:rsidRPr="00F10EFE">
        <w:rPr>
          <w:rFonts w:ascii="Verdana" w:hAnsi="Verdana" w:cs="Arial"/>
          <w:sz w:val="22"/>
          <w:szCs w:val="22"/>
        </w:rPr>
        <w:t>VIABLE: si se cumple con todos los requisitos técnicos del procedimiento de cesión a título gratuito, en virtud del artículo 2 de la Ley 1001 de 2005 y el decreto reglamentario 1077 de 2015, analizados en el presente instructivo.</w:t>
      </w:r>
    </w:p>
    <w:p w14:paraId="13A0E5BD" w14:textId="77777777" w:rsidR="008B3199" w:rsidRPr="00F10EFE" w:rsidRDefault="008B3199" w:rsidP="00F10EFE">
      <w:pPr>
        <w:rPr>
          <w:rFonts w:ascii="Verdana" w:hAnsi="Verdana" w:cs="Arial"/>
          <w:sz w:val="22"/>
          <w:szCs w:val="22"/>
        </w:rPr>
      </w:pPr>
    </w:p>
    <w:p w14:paraId="1E9A37E3"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NO VIABLE: si no se cumple con todos o alguno de los requisitos técnicos del procedimiento de cesión a título gratuito, en virtud del artículo 2 de la Ley 1001 de 2005 y el decreto reglamentario 1077 de 2015, analizados en el presente instructivo. </w:t>
      </w:r>
    </w:p>
    <w:p w14:paraId="1D5ECA19" w14:textId="77777777" w:rsidR="008B3199" w:rsidRPr="00F10EFE" w:rsidRDefault="008B3199" w:rsidP="00F10EFE">
      <w:pPr>
        <w:rPr>
          <w:rFonts w:ascii="Verdana" w:hAnsi="Verdana" w:cs="Arial"/>
          <w:sz w:val="22"/>
          <w:szCs w:val="22"/>
        </w:rPr>
      </w:pPr>
    </w:p>
    <w:p w14:paraId="587BD142" w14:textId="77777777" w:rsidR="008B3199" w:rsidRPr="00F10EFE" w:rsidRDefault="008B3199" w:rsidP="00F10EFE">
      <w:pPr>
        <w:rPr>
          <w:rFonts w:ascii="Verdana" w:hAnsi="Verdana" w:cs="Arial"/>
          <w:sz w:val="22"/>
          <w:szCs w:val="22"/>
        </w:rPr>
      </w:pPr>
      <w:r w:rsidRPr="00F10EFE">
        <w:rPr>
          <w:rFonts w:ascii="Verdana" w:hAnsi="Verdana" w:cs="Arial"/>
          <w:sz w:val="22"/>
          <w:szCs w:val="22"/>
        </w:rPr>
        <w:t>Nota: Se debe especificar la causal de “NO VIABILIDAD”.</w:t>
      </w:r>
    </w:p>
    <w:p w14:paraId="2117C950" w14:textId="77777777" w:rsidR="008B3199" w:rsidRPr="00F10EFE" w:rsidRDefault="008B3199" w:rsidP="00F10EFE">
      <w:pPr>
        <w:rPr>
          <w:rFonts w:ascii="Verdana" w:hAnsi="Verdana" w:cs="Arial"/>
          <w:sz w:val="22"/>
          <w:szCs w:val="22"/>
        </w:rPr>
      </w:pPr>
    </w:p>
    <w:p w14:paraId="2892D0F7" w14:textId="77777777" w:rsidR="008B3199" w:rsidRPr="00F10EFE" w:rsidRDefault="008B3199" w:rsidP="00F10EFE">
      <w:pPr>
        <w:tabs>
          <w:tab w:val="left" w:pos="426"/>
        </w:tabs>
        <w:rPr>
          <w:rFonts w:ascii="Verdana" w:hAnsi="Verdana" w:cs="Arial"/>
          <w:sz w:val="22"/>
          <w:szCs w:val="22"/>
        </w:rPr>
      </w:pPr>
      <w:r w:rsidRPr="00F10EFE">
        <w:rPr>
          <w:rFonts w:ascii="Verdana" w:hAnsi="Verdana" w:cs="Arial"/>
          <w:b/>
          <w:sz w:val="22"/>
          <w:szCs w:val="22"/>
        </w:rPr>
        <w:t xml:space="preserve">Datos de diligenciamiento: </w:t>
      </w:r>
      <w:r w:rsidRPr="00F10EFE">
        <w:rPr>
          <w:rFonts w:ascii="Verdana" w:hAnsi="Verdana" w:cs="Arial"/>
          <w:sz w:val="22"/>
          <w:szCs w:val="22"/>
        </w:rPr>
        <w:t>Finalmente, se diligencian los nombres de los profesionales técnicos que efectuaron el estudio de viabilidad técnica y su revisión, junto con su profesión y tipo de vinculación información que se registrará en el campo correspondiente a cargo, fecha de emisión del mismo y una vez impreso, se firmará en la casilla de firma.</w:t>
      </w:r>
    </w:p>
    <w:p w14:paraId="23675179" w14:textId="77777777" w:rsidR="008B3199" w:rsidRPr="00F10EFE" w:rsidRDefault="008B3199" w:rsidP="00F10EFE">
      <w:pPr>
        <w:tabs>
          <w:tab w:val="left" w:pos="426"/>
        </w:tabs>
        <w:rPr>
          <w:rFonts w:ascii="Verdana" w:hAnsi="Verdana" w:cs="Arial"/>
          <w:b/>
          <w:sz w:val="22"/>
          <w:szCs w:val="22"/>
        </w:rPr>
      </w:pPr>
    </w:p>
    <w:p w14:paraId="6CB74566" w14:textId="04812494" w:rsidR="008B3199" w:rsidRPr="00F10EFE" w:rsidRDefault="008B3199" w:rsidP="00B863F1">
      <w:pPr>
        <w:pStyle w:val="Subttulo"/>
        <w:numPr>
          <w:ilvl w:val="0"/>
          <w:numId w:val="25"/>
        </w:numPr>
        <w:spacing w:after="0"/>
        <w:ind w:left="709" w:hanging="425"/>
        <w:rPr>
          <w:rFonts w:ascii="Verdana" w:hAnsi="Verdana"/>
          <w:sz w:val="22"/>
          <w:szCs w:val="22"/>
        </w:rPr>
      </w:pPr>
      <w:bookmarkStart w:id="13" w:name="_Toc531360111"/>
      <w:r w:rsidRPr="00F10EFE">
        <w:rPr>
          <w:rFonts w:ascii="Verdana" w:hAnsi="Verdana"/>
          <w:sz w:val="22"/>
          <w:szCs w:val="22"/>
        </w:rPr>
        <w:t>APÉNDICE 1: ¿Qué es la deflactación y cómo se calcula?</w:t>
      </w:r>
      <w:bookmarkEnd w:id="13"/>
    </w:p>
    <w:p w14:paraId="4DEE4F2B" w14:textId="77777777" w:rsidR="008B3199" w:rsidRPr="00F10EFE" w:rsidRDefault="008B3199" w:rsidP="00F10EFE">
      <w:pPr>
        <w:ind w:left="994"/>
        <w:rPr>
          <w:rFonts w:ascii="Verdana" w:hAnsi="Verdana" w:cs="Arial"/>
          <w:sz w:val="22"/>
          <w:szCs w:val="22"/>
        </w:rPr>
      </w:pPr>
    </w:p>
    <w:p w14:paraId="4A5FFADD" w14:textId="77777777" w:rsidR="008B3199" w:rsidRPr="00F10EFE" w:rsidRDefault="008B3199" w:rsidP="00F10EFE">
      <w:pPr>
        <w:rPr>
          <w:rFonts w:ascii="Verdana" w:hAnsi="Verdana" w:cs="Arial"/>
          <w:sz w:val="22"/>
          <w:szCs w:val="22"/>
        </w:rPr>
      </w:pPr>
      <w:r w:rsidRPr="00F10EFE">
        <w:rPr>
          <w:rFonts w:ascii="Verdana" w:hAnsi="Verdana" w:cs="Arial"/>
          <w:sz w:val="22"/>
          <w:szCs w:val="22"/>
        </w:rPr>
        <w:t>La deflactación es un proceso económico, en el cual se realiza la conversión de producto o servicio de su valor nominal a su valor real. Este proceso se realiza para dar cumplimiento a lo establecido en el artículo 2.1.2.2.2.6 del decreto 1077 de 2015, en cuanto a la determinación del carácter de vivienda de interés social, tomando el avalúo comercial del inmueble y llevándolo a pesos del año en que se realizó la ocupación, utilizando el ICCV – Índice de Costos de la Construcción. Para mejor comprensión del tema, se expondrá un ejemplo de la vida cotidiana sobre el concepto de deflactación.</w:t>
      </w:r>
    </w:p>
    <w:p w14:paraId="5F27CCBF" w14:textId="77777777" w:rsidR="008B3199" w:rsidRPr="00F10EFE" w:rsidRDefault="008B3199" w:rsidP="00F10EFE">
      <w:pPr>
        <w:rPr>
          <w:rFonts w:ascii="Verdana" w:hAnsi="Verdana" w:cs="Arial"/>
          <w:sz w:val="22"/>
          <w:szCs w:val="22"/>
        </w:rPr>
      </w:pPr>
    </w:p>
    <w:p w14:paraId="14E69AC6"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Desde el año 2016, una persona recibe un pago por regar las plantas de $5.000 pesos al mes. Con ese dinero, puede pagar 2 pasajes de Transmilenio a $1.700 pesos c/u. </w:t>
      </w:r>
      <w:r w:rsidRPr="00F10EFE">
        <w:rPr>
          <w:rFonts w:ascii="Verdana" w:hAnsi="Verdana" w:cs="Arial"/>
          <w:sz w:val="22"/>
          <w:szCs w:val="22"/>
        </w:rPr>
        <w:lastRenderedPageBreak/>
        <w:t>y le sobran $1.600 pesos. En el año 2018, solicita un aumento por seguir realizando esta labor, llegando a un acuerdo de $6.000 pesos al mes. Con ese dinero puede pagar 2 pasajes de Transmilenio a $2.200 pesos c/u. y le sobran $1.600 pesos.</w:t>
      </w:r>
    </w:p>
    <w:p w14:paraId="6DCC5A2B" w14:textId="77777777" w:rsidR="008B3199" w:rsidRPr="00F10EFE" w:rsidRDefault="008B3199" w:rsidP="00F10EFE">
      <w:pPr>
        <w:rPr>
          <w:rFonts w:ascii="Verdana" w:hAnsi="Verdana" w:cs="Arial"/>
          <w:sz w:val="22"/>
          <w:szCs w:val="22"/>
        </w:rPr>
      </w:pPr>
    </w:p>
    <w:p w14:paraId="53AC2552" w14:textId="77777777" w:rsidR="008B3199" w:rsidRPr="00F10EFE" w:rsidRDefault="008B3199" w:rsidP="00F10EFE">
      <w:pPr>
        <w:rPr>
          <w:rFonts w:ascii="Verdana" w:hAnsi="Verdana" w:cs="Arial"/>
          <w:sz w:val="22"/>
          <w:szCs w:val="22"/>
        </w:rPr>
      </w:pPr>
      <w:r w:rsidRPr="00F10EFE">
        <w:rPr>
          <w:rFonts w:ascii="Verdana" w:hAnsi="Verdana" w:cs="Arial"/>
          <w:sz w:val="22"/>
          <w:szCs w:val="22"/>
        </w:rPr>
        <w:t>Nominalmente, esta persona recibe más dinero, puesto que en el año 2018 recibe $6.000 y en el año 2016 recibía $5.000, sin embargo, en términos reales, comparando lo que puede adquirir con este dinero en 2018, es inferior a lo que pudo comprar en  2016, esto porque a pesar de que pueda seguir comprando los dos pasajes de Transmilenio y le sobren los mismos $1.600 pesos, muy seguramente ya no le alcanza para comprar la misma cantidad de cosas puesto que todo ha subido de precio.</w:t>
      </w:r>
    </w:p>
    <w:p w14:paraId="0E20A4D1" w14:textId="77777777" w:rsidR="008B3199" w:rsidRPr="00F10EFE" w:rsidRDefault="008B3199" w:rsidP="00F10EFE">
      <w:pPr>
        <w:rPr>
          <w:rFonts w:ascii="Verdana" w:hAnsi="Verdana" w:cs="Arial"/>
          <w:sz w:val="22"/>
          <w:szCs w:val="22"/>
        </w:rPr>
      </w:pPr>
    </w:p>
    <w:p w14:paraId="155F9A3B" w14:textId="77777777" w:rsidR="008B3199" w:rsidRPr="00F10EFE" w:rsidRDefault="008B3199" w:rsidP="00F10EFE">
      <w:pPr>
        <w:rPr>
          <w:rFonts w:ascii="Verdana" w:hAnsi="Verdana" w:cs="Arial"/>
          <w:sz w:val="22"/>
          <w:szCs w:val="22"/>
        </w:rPr>
      </w:pPr>
      <w:r w:rsidRPr="00F10EFE">
        <w:rPr>
          <w:rFonts w:ascii="Verdana" w:hAnsi="Verdana" w:cs="Arial"/>
          <w:sz w:val="22"/>
          <w:szCs w:val="22"/>
        </w:rPr>
        <w:t>Para poder comparar lo recibido en el año 2016, respecto del 2018, y comprobar que a pesar de que hubo un aumento de $1.000 pesos, hoy esta persona recibe menos dinero, se requiere realizar una deflactación.</w:t>
      </w:r>
    </w:p>
    <w:p w14:paraId="0FAC74AC" w14:textId="77777777" w:rsidR="008B3199" w:rsidRPr="00F10EFE" w:rsidRDefault="008B3199" w:rsidP="00F10EFE">
      <w:pPr>
        <w:rPr>
          <w:rFonts w:ascii="Verdana" w:hAnsi="Verdana" w:cs="Arial"/>
          <w:sz w:val="22"/>
          <w:szCs w:val="22"/>
        </w:rPr>
      </w:pPr>
    </w:p>
    <w:p w14:paraId="591024D7" w14:textId="57F63E81" w:rsidR="008B3199" w:rsidRPr="0088178C" w:rsidRDefault="008B3199" w:rsidP="00F10EFE">
      <w:pPr>
        <w:rPr>
          <w:rFonts w:ascii="Verdana" w:hAnsi="Verdana" w:cs="Arial"/>
          <w:sz w:val="22"/>
          <w:szCs w:val="22"/>
        </w:rPr>
      </w:pPr>
      <w:r w:rsidRPr="00F10EFE">
        <w:rPr>
          <w:rFonts w:ascii="Verdana" w:hAnsi="Verdana" w:cs="Arial"/>
          <w:sz w:val="22"/>
          <w:szCs w:val="22"/>
        </w:rPr>
        <w:t>Para este procedimiento debemos conocer el valor del IPC de los años 2017 y 2018 y aplicar la siguiente fórmula:</w:t>
      </w:r>
    </w:p>
    <w:p w14:paraId="62EB7D54" w14:textId="1AAD24F3" w:rsidR="008B3199" w:rsidRPr="00F10EFE" w:rsidRDefault="008B3199" w:rsidP="0088178C">
      <w:pPr>
        <w:jc w:val="center"/>
        <w:rPr>
          <w:rFonts w:ascii="Verdana" w:hAnsi="Verdana" w:cs="Arial"/>
          <w:i/>
          <w:sz w:val="22"/>
          <w:szCs w:val="22"/>
        </w:rPr>
      </w:pPr>
      <w:r w:rsidRPr="00F10EFE">
        <w:rPr>
          <w:rFonts w:ascii="Verdana" w:hAnsi="Verdana" w:cs="Arial"/>
          <w:noProof/>
          <w:sz w:val="22"/>
          <w:szCs w:val="22"/>
          <w:lang w:eastAsia="es-CO"/>
        </w:rPr>
        <w:drawing>
          <wp:inline distT="0" distB="0" distL="0" distR="0" wp14:anchorId="7CDC99BB" wp14:editId="3C5FEF5B">
            <wp:extent cx="3047415" cy="434567"/>
            <wp:effectExtent l="0" t="0" r="635" b="0"/>
            <wp:docPr id="1712630791" name="Imagen 22" descr="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630791" name="Imagen 22" descr="Texto&#10;&#10;Descripción generada automáticamente con confianza baja"/>
                    <pic:cNvPicPr>
                      <a:picLocks noChangeAspect="1" noChangeArrowheads="1"/>
                    </pic:cNvPicPr>
                  </pic:nvPicPr>
                  <pic:blipFill rotWithShape="1">
                    <a:blip r:embed="rId12">
                      <a:extLst>
                        <a:ext uri="{28A0092B-C50C-407E-A947-70E740481C1C}">
                          <a14:useLocalDpi xmlns:a14="http://schemas.microsoft.com/office/drawing/2010/main" val="0"/>
                        </a:ext>
                      </a:extLst>
                    </a:blip>
                    <a:srcRect t="1" b="27583"/>
                    <a:stretch/>
                  </pic:blipFill>
                  <pic:spPr bwMode="auto">
                    <a:xfrm>
                      <a:off x="0" y="0"/>
                      <a:ext cx="3120278" cy="444957"/>
                    </a:xfrm>
                    <a:prstGeom prst="rect">
                      <a:avLst/>
                    </a:prstGeom>
                    <a:noFill/>
                    <a:ln>
                      <a:noFill/>
                    </a:ln>
                    <a:extLst>
                      <a:ext uri="{53640926-AAD7-44D8-BBD7-CCE9431645EC}">
                        <a14:shadowObscured xmlns:a14="http://schemas.microsoft.com/office/drawing/2010/main"/>
                      </a:ext>
                    </a:extLst>
                  </pic:spPr>
                </pic:pic>
              </a:graphicData>
            </a:graphic>
          </wp:inline>
        </w:drawing>
      </w:r>
    </w:p>
    <w:p w14:paraId="5ACEEECD" w14:textId="77777777" w:rsidR="0088178C" w:rsidRDefault="0088178C" w:rsidP="00F10EFE">
      <w:pPr>
        <w:rPr>
          <w:rFonts w:ascii="Verdana" w:hAnsi="Verdana" w:cs="Arial"/>
          <w:i/>
          <w:sz w:val="22"/>
          <w:szCs w:val="22"/>
        </w:rPr>
      </w:pPr>
    </w:p>
    <w:p w14:paraId="7F33F500" w14:textId="1CC8B4DB" w:rsidR="008B3199" w:rsidRPr="00F10EFE" w:rsidRDefault="008B3199" w:rsidP="00F10EFE">
      <w:pPr>
        <w:rPr>
          <w:rFonts w:ascii="Verdana" w:hAnsi="Verdana" w:cs="Arial"/>
          <w:i/>
          <w:sz w:val="22"/>
          <w:szCs w:val="22"/>
        </w:rPr>
      </w:pPr>
      <w:r w:rsidRPr="00F10EFE">
        <w:rPr>
          <w:rFonts w:ascii="Verdana" w:hAnsi="Verdana" w:cs="Arial"/>
          <w:i/>
          <w:sz w:val="22"/>
          <w:szCs w:val="22"/>
        </w:rPr>
        <w:t>Se realiza la consulta en la página del DANE, así:</w:t>
      </w:r>
    </w:p>
    <w:p w14:paraId="074AFA03" w14:textId="77777777" w:rsidR="008B3199" w:rsidRPr="00F10EFE" w:rsidRDefault="008B3199" w:rsidP="00F10EFE">
      <w:pPr>
        <w:rPr>
          <w:rFonts w:ascii="Verdana" w:hAnsi="Verdana" w:cs="Arial"/>
          <w:i/>
          <w:sz w:val="22"/>
          <w:szCs w:val="22"/>
        </w:rPr>
      </w:pPr>
    </w:p>
    <w:p w14:paraId="6266060D" w14:textId="77777777" w:rsidR="008B3199" w:rsidRPr="00F10EFE" w:rsidRDefault="008B3199" w:rsidP="00F10EFE">
      <w:pPr>
        <w:rPr>
          <w:rFonts w:ascii="Verdana" w:hAnsi="Verdana" w:cs="Arial"/>
          <w:i/>
          <w:sz w:val="22"/>
          <w:szCs w:val="22"/>
        </w:rPr>
      </w:pPr>
      <w:r w:rsidRPr="00F10EFE">
        <w:rPr>
          <w:rFonts w:ascii="Verdana" w:hAnsi="Verdana" w:cs="Arial"/>
          <w:i/>
          <w:sz w:val="22"/>
          <w:szCs w:val="22"/>
        </w:rPr>
        <w:t>2017 IPC = 3.40 %</w:t>
      </w:r>
    </w:p>
    <w:p w14:paraId="7F030D11" w14:textId="77777777" w:rsidR="008B3199" w:rsidRPr="00F10EFE" w:rsidRDefault="008B3199" w:rsidP="00F10EFE">
      <w:pPr>
        <w:rPr>
          <w:rFonts w:ascii="Verdana" w:hAnsi="Verdana" w:cs="Arial"/>
          <w:i/>
          <w:sz w:val="22"/>
          <w:szCs w:val="22"/>
        </w:rPr>
      </w:pPr>
      <w:r w:rsidRPr="00F10EFE">
        <w:rPr>
          <w:rFonts w:ascii="Verdana" w:hAnsi="Verdana" w:cs="Arial"/>
          <w:i/>
          <w:sz w:val="22"/>
          <w:szCs w:val="22"/>
        </w:rPr>
        <w:t>2018 IPC = 3.12 %</w:t>
      </w:r>
    </w:p>
    <w:p w14:paraId="3319380B" w14:textId="77777777" w:rsidR="008B3199" w:rsidRPr="00F10EFE" w:rsidRDefault="008B3199" w:rsidP="00F10EFE">
      <w:pPr>
        <w:rPr>
          <w:rFonts w:ascii="Verdana" w:hAnsi="Verdana" w:cs="Arial"/>
          <w:i/>
          <w:sz w:val="22"/>
          <w:szCs w:val="22"/>
        </w:rPr>
      </w:pPr>
    </w:p>
    <w:p w14:paraId="6987C301"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Dado que el valor del IPC en el año 2017 no es igual al del año 2018, se debe hacer un proceso de iteración, es decir que se debe reemplazar en la fórmula de deflactación del IPC del 2018 para luego con ese resultado, reemplazar nuevamente con el IPC del 2017.  </w:t>
      </w:r>
    </w:p>
    <w:p w14:paraId="1850E25F" w14:textId="77777777" w:rsidR="008B3199" w:rsidRPr="00F10EFE" w:rsidRDefault="008B3199" w:rsidP="00F10EFE">
      <w:pPr>
        <w:rPr>
          <w:rFonts w:ascii="Verdana" w:hAnsi="Verdana" w:cs="Arial"/>
          <w:sz w:val="22"/>
          <w:szCs w:val="22"/>
        </w:rPr>
      </w:pPr>
      <w:r w:rsidRPr="00F10EFE">
        <w:rPr>
          <w:rFonts w:ascii="Verdana" w:hAnsi="Verdana" w:cs="Arial"/>
          <w:sz w:val="22"/>
          <w:szCs w:val="22"/>
        </w:rPr>
        <w:t xml:space="preserve"> </w:t>
      </w:r>
    </w:p>
    <w:p w14:paraId="7209044A" w14:textId="77777777" w:rsidR="008B3199" w:rsidRPr="00F10EFE" w:rsidRDefault="008B3199" w:rsidP="00F10EFE">
      <w:pPr>
        <w:rPr>
          <w:rFonts w:ascii="Verdana" w:hAnsi="Verdana" w:cs="Arial"/>
          <w:sz w:val="22"/>
          <w:szCs w:val="22"/>
        </w:rPr>
      </w:pPr>
      <w:r w:rsidRPr="00F10EFE">
        <w:rPr>
          <w:rFonts w:ascii="Verdana" w:hAnsi="Verdana" w:cs="Arial"/>
          <w:sz w:val="22"/>
          <w:szCs w:val="22"/>
        </w:rPr>
        <w:t>La operación sería la siguiente:</w:t>
      </w:r>
    </w:p>
    <w:p w14:paraId="5EF68A69" w14:textId="77777777" w:rsidR="008B3199" w:rsidRPr="00F10EFE" w:rsidRDefault="008B3199" w:rsidP="00F10EFE">
      <w:pPr>
        <w:rPr>
          <w:rFonts w:ascii="Verdana" w:hAnsi="Verdana" w:cs="Arial"/>
          <w:sz w:val="22"/>
          <w:szCs w:val="22"/>
        </w:rPr>
      </w:pPr>
    </w:p>
    <w:p w14:paraId="3328BDFB" w14:textId="77777777" w:rsidR="008B3199" w:rsidRPr="00F10EFE" w:rsidRDefault="008B3199" w:rsidP="00F10EFE">
      <w:pPr>
        <w:rPr>
          <w:rFonts w:ascii="Verdana" w:hAnsi="Verdana" w:cs="Arial"/>
          <w:sz w:val="22"/>
          <w:szCs w:val="22"/>
        </w:rPr>
      </w:pPr>
      <w:r w:rsidRPr="00F10EFE">
        <w:rPr>
          <w:rFonts w:ascii="Verdana" w:hAnsi="Verdana" w:cs="Arial"/>
          <w:sz w:val="22"/>
          <w:szCs w:val="22"/>
        </w:rPr>
        <w:t>Valor año 2017 = Valor año 2018/(1+0.0312)</w:t>
      </w:r>
    </w:p>
    <w:p w14:paraId="2242C3BF" w14:textId="7F6F3C17" w:rsidR="008B3199" w:rsidRPr="00F10EFE" w:rsidRDefault="008B3199" w:rsidP="00F10EFE">
      <w:pPr>
        <w:rPr>
          <w:rFonts w:ascii="Verdana" w:hAnsi="Verdana" w:cs="Arial"/>
          <w:sz w:val="22"/>
          <w:szCs w:val="22"/>
        </w:rPr>
      </w:pPr>
      <w:r w:rsidRPr="00F10EFE">
        <w:rPr>
          <w:rFonts w:ascii="Verdana" w:hAnsi="Verdana" w:cs="Arial"/>
          <w:sz w:val="22"/>
          <w:szCs w:val="22"/>
        </w:rPr>
        <w:t>Valor año 2017 = 6.000/(1+0.0312)</w:t>
      </w:r>
    </w:p>
    <w:p w14:paraId="1CB1CC5D" w14:textId="09CC5364" w:rsidR="008B3199" w:rsidRPr="00F10EFE" w:rsidRDefault="008B3199" w:rsidP="00F10EFE">
      <w:pPr>
        <w:rPr>
          <w:rFonts w:ascii="Verdana" w:hAnsi="Verdana" w:cs="Arial"/>
          <w:sz w:val="22"/>
          <w:szCs w:val="22"/>
        </w:rPr>
      </w:pPr>
      <w:r w:rsidRPr="00F10EFE">
        <w:rPr>
          <w:rFonts w:ascii="Verdana" w:hAnsi="Verdana" w:cs="Arial"/>
          <w:sz w:val="22"/>
          <w:szCs w:val="22"/>
        </w:rPr>
        <w:t>Valor año 2017 = 5.818</w:t>
      </w:r>
    </w:p>
    <w:p w14:paraId="51D22F52" w14:textId="77777777" w:rsidR="0088178C" w:rsidRDefault="0088178C" w:rsidP="00F10EFE">
      <w:pPr>
        <w:rPr>
          <w:rFonts w:ascii="Verdana" w:hAnsi="Verdana" w:cs="Arial"/>
          <w:sz w:val="22"/>
          <w:szCs w:val="22"/>
        </w:rPr>
      </w:pPr>
    </w:p>
    <w:p w14:paraId="6A13BD84" w14:textId="696138F0" w:rsidR="008B3199" w:rsidRPr="00F10EFE" w:rsidRDefault="008B3199" w:rsidP="00F10EFE">
      <w:pPr>
        <w:rPr>
          <w:rFonts w:ascii="Verdana" w:hAnsi="Verdana" w:cs="Arial"/>
          <w:sz w:val="22"/>
          <w:szCs w:val="22"/>
        </w:rPr>
      </w:pPr>
      <w:r w:rsidRPr="00F10EFE">
        <w:rPr>
          <w:rFonts w:ascii="Verdana" w:hAnsi="Verdana" w:cs="Arial"/>
          <w:sz w:val="22"/>
          <w:szCs w:val="22"/>
        </w:rPr>
        <w:t>Luego, reemplazo nuevamente el resultado anterior utilizando el IPC del 2017;</w:t>
      </w:r>
    </w:p>
    <w:p w14:paraId="5E5D08A0" w14:textId="77777777" w:rsidR="0088178C" w:rsidRDefault="0088178C" w:rsidP="00F10EFE">
      <w:pPr>
        <w:rPr>
          <w:rFonts w:ascii="Verdana" w:hAnsi="Verdana" w:cs="Arial"/>
          <w:sz w:val="22"/>
          <w:szCs w:val="22"/>
        </w:rPr>
      </w:pPr>
    </w:p>
    <w:p w14:paraId="2DEB544C" w14:textId="3220C70E" w:rsidR="008B3199" w:rsidRPr="00F10EFE" w:rsidRDefault="008B3199" w:rsidP="00F10EFE">
      <w:pPr>
        <w:rPr>
          <w:rFonts w:ascii="Verdana" w:hAnsi="Verdana" w:cs="Arial"/>
          <w:sz w:val="22"/>
          <w:szCs w:val="22"/>
        </w:rPr>
      </w:pPr>
      <w:r w:rsidRPr="00F10EFE">
        <w:rPr>
          <w:rFonts w:ascii="Verdana" w:hAnsi="Verdana" w:cs="Arial"/>
          <w:sz w:val="22"/>
          <w:szCs w:val="22"/>
        </w:rPr>
        <w:t>Valor año 2016 = Valor año 2017/(1+0.034)</w:t>
      </w:r>
    </w:p>
    <w:p w14:paraId="01533B02" w14:textId="076E385B" w:rsidR="008B3199" w:rsidRPr="00F10EFE" w:rsidRDefault="008B3199" w:rsidP="00F10EFE">
      <w:pPr>
        <w:rPr>
          <w:rFonts w:ascii="Verdana" w:hAnsi="Verdana" w:cs="Arial"/>
          <w:sz w:val="22"/>
          <w:szCs w:val="22"/>
        </w:rPr>
      </w:pPr>
      <w:r w:rsidRPr="00F10EFE">
        <w:rPr>
          <w:rFonts w:ascii="Verdana" w:hAnsi="Verdana" w:cs="Arial"/>
          <w:sz w:val="22"/>
          <w:szCs w:val="22"/>
        </w:rPr>
        <w:t>Valor año 2016 = 5.818/(1+0.034)</w:t>
      </w:r>
    </w:p>
    <w:p w14:paraId="710B6529" w14:textId="77777777" w:rsidR="008B3199" w:rsidRPr="00F10EFE" w:rsidRDefault="008B3199" w:rsidP="00F10EFE">
      <w:pPr>
        <w:rPr>
          <w:rFonts w:ascii="Verdana" w:hAnsi="Verdana" w:cs="Arial"/>
          <w:sz w:val="22"/>
          <w:szCs w:val="22"/>
        </w:rPr>
      </w:pPr>
      <w:r w:rsidRPr="00F10EFE">
        <w:rPr>
          <w:rFonts w:ascii="Verdana" w:hAnsi="Verdana" w:cs="Arial"/>
          <w:sz w:val="22"/>
          <w:szCs w:val="22"/>
        </w:rPr>
        <w:t>Valor año 2016 = 5.627</w:t>
      </w:r>
    </w:p>
    <w:p w14:paraId="4BD8DEE4" w14:textId="77777777" w:rsidR="008B3199" w:rsidRPr="00F10EFE" w:rsidRDefault="008B3199" w:rsidP="00F10EFE">
      <w:pPr>
        <w:rPr>
          <w:rFonts w:ascii="Verdana" w:hAnsi="Verdana" w:cs="Arial"/>
          <w:sz w:val="22"/>
          <w:szCs w:val="22"/>
        </w:rPr>
      </w:pPr>
      <w:r w:rsidRPr="00F10EFE">
        <w:rPr>
          <w:rFonts w:ascii="Verdana" w:hAnsi="Verdana" w:cs="Arial"/>
          <w:sz w:val="22"/>
          <w:szCs w:val="22"/>
        </w:rPr>
        <w:lastRenderedPageBreak/>
        <w:t>Ahora que ya se ha realizado la corrección producida por la inflación, se compara el valor real de lo recibido en 2016 con respecto al 2018, dado que ya se realizó el proceso de deflactación de los $6.000 pesos al año 2016.</w:t>
      </w:r>
    </w:p>
    <w:p w14:paraId="59EBB887" w14:textId="0966AB85" w:rsidR="008B3199" w:rsidRPr="00F10EFE" w:rsidRDefault="008B3199" w:rsidP="00F10EFE">
      <w:pPr>
        <w:rPr>
          <w:rFonts w:ascii="Verdana" w:hAnsi="Verdana" w:cs="Arial"/>
          <w:sz w:val="22"/>
          <w:szCs w:val="22"/>
        </w:rPr>
      </w:pPr>
      <w:r w:rsidRPr="00F10EFE">
        <w:rPr>
          <w:rFonts w:ascii="Verdana" w:hAnsi="Verdana"/>
          <w:noProof/>
          <w:sz w:val="22"/>
          <w:szCs w:val="22"/>
        </w:rPr>
        <mc:AlternateContent>
          <mc:Choice Requires="wps">
            <w:drawing>
              <wp:anchor distT="0" distB="0" distL="114300" distR="114300" simplePos="0" relativeHeight="251659264" behindDoc="0" locked="0" layoutInCell="1" allowOverlap="1" wp14:anchorId="208A8352" wp14:editId="520AF505">
                <wp:simplePos x="0" y="0"/>
                <wp:positionH relativeFrom="column">
                  <wp:posOffset>430530</wp:posOffset>
                </wp:positionH>
                <wp:positionV relativeFrom="paragraph">
                  <wp:posOffset>149860</wp:posOffset>
                </wp:positionV>
                <wp:extent cx="5263515" cy="636270"/>
                <wp:effectExtent l="0" t="0" r="13335" b="11430"/>
                <wp:wrapNone/>
                <wp:docPr id="1977708014" name="Cuadro de texto 23"/>
                <wp:cNvGraphicFramePr/>
                <a:graphic xmlns:a="http://schemas.openxmlformats.org/drawingml/2006/main">
                  <a:graphicData uri="http://schemas.microsoft.com/office/word/2010/wordprocessingShape">
                    <wps:wsp>
                      <wps:cNvSpPr txBox="1"/>
                      <wps:spPr>
                        <a:xfrm>
                          <a:off x="0" y="0"/>
                          <a:ext cx="5263515" cy="6356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208C68" w14:textId="77777777" w:rsidR="008B3199" w:rsidRDefault="008B3199" w:rsidP="008B3199">
                            <w:pPr>
                              <w:rPr>
                                <w:rFonts w:ascii="Verdana" w:hAnsi="Verdana"/>
                                <w:sz w:val="20"/>
                              </w:rPr>
                            </w:pPr>
                            <w:r>
                              <w:rPr>
                                <w:rFonts w:ascii="Verdana" w:hAnsi="Verdana"/>
                                <w:sz w:val="20"/>
                              </w:rPr>
                              <w:t>En conclusión, la persona si recibió un aumento por realizar la tarea de regar las plantas, puesto que comparando el valor recibido en 2016 con el 2018, se incrementó en términos reales en $627 pesos.</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208A8352" id="_x0000_t202" coordsize="21600,21600" o:spt="202" path="m,l,21600r21600,l21600,xe">
                <v:stroke joinstyle="miter"/>
                <v:path gradientshapeok="t" o:connecttype="rect"/>
              </v:shapetype>
              <v:shape id="Cuadro de texto 23" o:spid="_x0000_s1026" type="#_x0000_t202" style="position:absolute;left:0;text-align:left;margin-left:33.9pt;margin-top:11.8pt;width:414.45pt;height:5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" fillcolor="white [3201]" strokeweight=".5pt">
                <v:textbox>
                  <w:txbxContent>
                    <w:p w14:paraId="25208C68" w14:textId="77777777" w:rsidR="008B3199" w:rsidRDefault="008B3199" w:rsidP="008B3199">
                      <w:pPr>
                        <w:rPr>
                          <w:rFonts w:ascii="Verdana" w:hAnsi="Verdana"/>
                          <w:sz w:val="20"/>
                        </w:rPr>
                      </w:pPr>
                      <w:r>
                        <w:rPr>
                          <w:rFonts w:ascii="Verdana" w:hAnsi="Verdana"/>
                          <w:sz w:val="20"/>
                        </w:rPr>
                        <w:t>En conclusión, la persona si recibió un aumento por realizar la tarea de regar las plantas, puesto que comparando el valor recibido en 2016 con el 2018, se incrementó en términos reales en $627 pesos.</w:t>
                      </w:r>
                    </w:p>
                  </w:txbxContent>
                </v:textbox>
              </v:shape>
            </w:pict>
          </mc:Fallback>
        </mc:AlternateContent>
      </w:r>
    </w:p>
    <w:p w14:paraId="4312FBDE" w14:textId="77777777" w:rsidR="008B3199" w:rsidRPr="00F10EFE" w:rsidRDefault="008B3199" w:rsidP="00F10EFE">
      <w:pPr>
        <w:rPr>
          <w:rFonts w:ascii="Verdana" w:hAnsi="Verdana" w:cs="Arial"/>
          <w:sz w:val="22"/>
          <w:szCs w:val="22"/>
        </w:rPr>
      </w:pPr>
    </w:p>
    <w:p w14:paraId="4A5551E8" w14:textId="77777777" w:rsidR="008B3199" w:rsidRPr="00F10EFE" w:rsidRDefault="008B3199" w:rsidP="00F10EFE">
      <w:pPr>
        <w:rPr>
          <w:rFonts w:ascii="Verdana" w:hAnsi="Verdana" w:cs="Arial"/>
          <w:sz w:val="22"/>
          <w:szCs w:val="22"/>
        </w:rPr>
      </w:pPr>
    </w:p>
    <w:p w14:paraId="46341E74" w14:textId="77777777" w:rsidR="008B3199" w:rsidRPr="00F10EFE" w:rsidRDefault="008B3199" w:rsidP="00F10EFE">
      <w:pPr>
        <w:rPr>
          <w:rFonts w:ascii="Verdana" w:hAnsi="Verdana" w:cs="Arial"/>
          <w:i/>
          <w:sz w:val="22"/>
          <w:szCs w:val="22"/>
        </w:rPr>
      </w:pPr>
    </w:p>
    <w:p w14:paraId="58811491" w14:textId="77777777" w:rsidR="008B3199" w:rsidRPr="00F10EFE" w:rsidRDefault="008B3199" w:rsidP="00F10EFE">
      <w:pPr>
        <w:rPr>
          <w:rFonts w:ascii="Verdana" w:hAnsi="Verdana" w:cs="Arial"/>
          <w:sz w:val="22"/>
          <w:szCs w:val="22"/>
        </w:rPr>
      </w:pPr>
    </w:p>
    <w:p w14:paraId="6AFEE301" w14:textId="77777777" w:rsidR="008B3199" w:rsidRPr="00F10EFE" w:rsidRDefault="008B3199" w:rsidP="00F10EFE">
      <w:pPr>
        <w:rPr>
          <w:rFonts w:ascii="Verdana" w:hAnsi="Verdana" w:cs="Arial"/>
          <w:sz w:val="22"/>
          <w:szCs w:val="22"/>
        </w:rPr>
      </w:pPr>
    </w:p>
    <w:p w14:paraId="4F577F85" w14:textId="77777777" w:rsidR="008B3199" w:rsidRDefault="008B3199" w:rsidP="00F10EFE">
      <w:pPr>
        <w:rPr>
          <w:rFonts w:ascii="Verdana" w:hAnsi="Verdana" w:cs="Arial"/>
          <w:sz w:val="22"/>
          <w:szCs w:val="22"/>
        </w:rPr>
      </w:pPr>
      <w:r w:rsidRPr="00F10EFE">
        <w:rPr>
          <w:rFonts w:ascii="Verdana" w:hAnsi="Verdana" w:cs="Arial"/>
          <w:sz w:val="22"/>
          <w:szCs w:val="22"/>
        </w:rPr>
        <w:t>En este ejemplo se utiliza el IPC puesto que es el indicador más indicado para temas monetarios, sin embargo, para temas de deflactación en términos del decreto 1077 de 2015 Art. 2.1.2.2.2.6., la norma sugiere el ICCV – Índice de Construcción de Vivienda, puesto que se está llevando el valor de la construcción al momento de la ocupación.</w:t>
      </w:r>
    </w:p>
    <w:p w14:paraId="7272D168" w14:textId="77777777" w:rsidR="00DC0FBB" w:rsidRDefault="00DC0FBB" w:rsidP="00F10EFE">
      <w:pPr>
        <w:rPr>
          <w:rFonts w:ascii="Verdana" w:hAnsi="Verdana" w:cs="Arial"/>
          <w:sz w:val="22"/>
          <w:szCs w:val="22"/>
        </w:rPr>
      </w:pPr>
    </w:p>
    <w:p w14:paraId="4D390480" w14:textId="77777777" w:rsidR="00DC0FBB" w:rsidRPr="00F10EFE" w:rsidRDefault="00DC0FBB" w:rsidP="00B863F1">
      <w:pPr>
        <w:pStyle w:val="Subttulo"/>
        <w:numPr>
          <w:ilvl w:val="0"/>
          <w:numId w:val="8"/>
        </w:numPr>
        <w:spacing w:after="0"/>
        <w:ind w:left="426" w:hanging="142"/>
        <w:rPr>
          <w:rFonts w:ascii="Verdana" w:hAnsi="Verdana"/>
          <w:sz w:val="22"/>
          <w:szCs w:val="22"/>
        </w:rPr>
      </w:pPr>
      <w:bookmarkStart w:id="14" w:name="_Toc531360112"/>
      <w:r w:rsidRPr="00F10EFE">
        <w:rPr>
          <w:rFonts w:ascii="Verdana" w:hAnsi="Verdana"/>
          <w:sz w:val="22"/>
          <w:szCs w:val="22"/>
        </w:rPr>
        <w:t>APÉNDICE 2: Normalización de la dirección.</w:t>
      </w:r>
      <w:bookmarkEnd w:id="14"/>
    </w:p>
    <w:p w14:paraId="1F6E8615" w14:textId="77777777" w:rsidR="00DC0FBB" w:rsidRPr="00F10EFE" w:rsidRDefault="00DC0FBB" w:rsidP="00DC0FBB">
      <w:pPr>
        <w:pStyle w:val="Prrafodelista"/>
        <w:rPr>
          <w:rFonts w:ascii="Verdana" w:hAnsi="Verdana" w:cs="Arial"/>
          <w:sz w:val="22"/>
          <w:szCs w:val="22"/>
        </w:rPr>
      </w:pPr>
    </w:p>
    <w:p w14:paraId="6E1A9676" w14:textId="77777777" w:rsidR="00DC0FBB" w:rsidRPr="00DC0FBB" w:rsidRDefault="00DC0FBB" w:rsidP="00DC0FBB">
      <w:pPr>
        <w:rPr>
          <w:rFonts w:ascii="Verdana" w:hAnsi="Verdana" w:cs="Arial"/>
          <w:sz w:val="22"/>
          <w:szCs w:val="22"/>
        </w:rPr>
      </w:pPr>
      <w:r w:rsidRPr="00DC0FBB">
        <w:rPr>
          <w:rFonts w:ascii="Verdana" w:hAnsi="Verdana" w:cs="Arial"/>
          <w:sz w:val="22"/>
          <w:szCs w:val="22"/>
        </w:rPr>
        <w:t>A continuación, se presentan las abreviaturas a usar en el momento de diligenciar los campos correspondientes a la dirección, las cuales están basadas en la Circular 300/01 (IGAC) y en la Resolución 166/04 (MEN), según la propuesta de estandarización de Instituto Geográfico Agustín Codazzi:</w:t>
      </w:r>
    </w:p>
    <w:p w14:paraId="0D0B2DF9" w14:textId="77777777" w:rsidR="00DC0FBB" w:rsidRPr="00F10EFE" w:rsidRDefault="00DC0FBB" w:rsidP="00DC0FBB">
      <w:pPr>
        <w:pStyle w:val="Prrafodelista"/>
        <w:rPr>
          <w:rFonts w:ascii="Verdana" w:hAnsi="Verdana" w:cs="Arial"/>
          <w:sz w:val="22"/>
          <w:szCs w:val="22"/>
        </w:rPr>
      </w:pPr>
    </w:p>
    <w:p w14:paraId="00EF5BBD" w14:textId="77777777" w:rsidR="00DC0FBB" w:rsidRPr="00F10EFE" w:rsidRDefault="00DC0FBB" w:rsidP="00DC0FBB">
      <w:pPr>
        <w:pStyle w:val="Prrafodelista"/>
        <w:rPr>
          <w:rFonts w:ascii="Verdana" w:hAnsi="Verdana" w:cs="Arial"/>
          <w:sz w:val="22"/>
          <w:szCs w:val="22"/>
        </w:rPr>
      </w:pPr>
    </w:p>
    <w:p w14:paraId="799F1090" w14:textId="77777777" w:rsidR="00DC0FBB" w:rsidRPr="00F10EFE" w:rsidRDefault="00DC0FBB" w:rsidP="00DC0FBB">
      <w:pPr>
        <w:pStyle w:val="Prrafodelista"/>
        <w:jc w:val="center"/>
        <w:rPr>
          <w:rFonts w:ascii="Verdana" w:hAnsi="Verdana" w:cs="Arial"/>
          <w:sz w:val="22"/>
          <w:szCs w:val="22"/>
        </w:rPr>
      </w:pPr>
      <w:r w:rsidRPr="00F10EFE">
        <w:rPr>
          <w:rFonts w:ascii="Verdana" w:hAnsi="Verdana" w:cs="Arial"/>
          <w:noProof/>
          <w:sz w:val="22"/>
          <w:szCs w:val="22"/>
          <w:lang w:eastAsia="es-CO"/>
        </w:rPr>
        <w:drawing>
          <wp:inline distT="0" distB="0" distL="0" distR="0" wp14:anchorId="3DA8977E" wp14:editId="0ABE2D74">
            <wp:extent cx="5005070" cy="2489703"/>
            <wp:effectExtent l="0" t="0" r="0" b="0"/>
            <wp:docPr id="1566591365" name="Imagen 2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591365" name="Imagen 21" descr="Tabla&#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4367" cy="2509251"/>
                    </a:xfrm>
                    <a:prstGeom prst="rect">
                      <a:avLst/>
                    </a:prstGeom>
                    <a:noFill/>
                    <a:ln>
                      <a:noFill/>
                    </a:ln>
                  </pic:spPr>
                </pic:pic>
              </a:graphicData>
            </a:graphic>
          </wp:inline>
        </w:drawing>
      </w:r>
    </w:p>
    <w:p w14:paraId="664B5946" w14:textId="65F01E2B" w:rsidR="00DC0FBB" w:rsidRPr="00976C18" w:rsidRDefault="00DC0FBB" w:rsidP="00DC0FBB">
      <w:pPr>
        <w:pStyle w:val="Prrafodelista"/>
        <w:jc w:val="center"/>
        <w:rPr>
          <w:rFonts w:ascii="Verdana" w:hAnsi="Verdana" w:cs="Arial"/>
          <w:i/>
          <w:iCs/>
          <w:sz w:val="18"/>
          <w:szCs w:val="18"/>
        </w:rPr>
      </w:pPr>
      <w:r w:rsidRPr="00976C18">
        <w:rPr>
          <w:rFonts w:ascii="Verdana" w:hAnsi="Verdana" w:cs="Arial"/>
          <w:i/>
          <w:iCs/>
          <w:sz w:val="18"/>
          <w:szCs w:val="18"/>
        </w:rPr>
        <w:t>Fuente: Propuesta de Estándar de las Direcciones Urbanas para los Equipamientos del Ministerio de Educación, Versión 4.0, Marzo de 2009</w:t>
      </w:r>
    </w:p>
    <w:p w14:paraId="73ACCCA3" w14:textId="5141D75E" w:rsidR="00DC0FBB" w:rsidRPr="00F10EFE" w:rsidRDefault="00DC0FBB" w:rsidP="00DC0FBB">
      <w:pPr>
        <w:pStyle w:val="Prrafodelista"/>
        <w:rPr>
          <w:rFonts w:ascii="Verdana" w:hAnsi="Verdana" w:cs="Arial"/>
          <w:sz w:val="22"/>
          <w:szCs w:val="22"/>
        </w:rPr>
      </w:pPr>
      <w:r w:rsidRPr="00F10EFE">
        <w:rPr>
          <w:rFonts w:ascii="Verdana" w:hAnsi="Verdana" w:cs="Arial"/>
          <w:noProof/>
          <w:sz w:val="22"/>
          <w:szCs w:val="22"/>
          <w:lang w:eastAsia="es-CO"/>
        </w:rPr>
        <w:lastRenderedPageBreak/>
        <w:drawing>
          <wp:inline distT="0" distB="0" distL="0" distR="0" wp14:anchorId="3244795E" wp14:editId="07DC7EDC">
            <wp:extent cx="5504507" cy="2226914"/>
            <wp:effectExtent l="0" t="0" r="0" b="0"/>
            <wp:docPr id="691887726" name="Imagen 20"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87726" name="Imagen 20" descr="Tabla&#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2489" cy="2242280"/>
                    </a:xfrm>
                    <a:prstGeom prst="rect">
                      <a:avLst/>
                    </a:prstGeom>
                    <a:noFill/>
                    <a:ln>
                      <a:noFill/>
                    </a:ln>
                  </pic:spPr>
                </pic:pic>
              </a:graphicData>
            </a:graphic>
          </wp:inline>
        </w:drawing>
      </w:r>
    </w:p>
    <w:p w14:paraId="17ECF800" w14:textId="77777777" w:rsidR="0088178C" w:rsidRDefault="0088178C" w:rsidP="00DC0FBB">
      <w:pPr>
        <w:pStyle w:val="Prrafodelista"/>
        <w:jc w:val="center"/>
        <w:rPr>
          <w:rFonts w:ascii="Verdana" w:hAnsi="Verdana" w:cs="Arial"/>
          <w:i/>
          <w:iCs/>
          <w:sz w:val="20"/>
        </w:rPr>
      </w:pPr>
    </w:p>
    <w:p w14:paraId="47336CDF" w14:textId="6C1EE030" w:rsidR="00DC0FBB" w:rsidRDefault="00DC0FBB" w:rsidP="00DC0FBB">
      <w:pPr>
        <w:pStyle w:val="Prrafodelista"/>
        <w:jc w:val="center"/>
        <w:rPr>
          <w:rFonts w:ascii="Verdana" w:hAnsi="Verdana" w:cs="Arial"/>
          <w:i/>
          <w:iCs/>
          <w:sz w:val="18"/>
          <w:szCs w:val="18"/>
        </w:rPr>
      </w:pPr>
      <w:r w:rsidRPr="00976C18">
        <w:rPr>
          <w:rFonts w:ascii="Verdana" w:hAnsi="Verdana" w:cs="Arial"/>
          <w:i/>
          <w:iCs/>
          <w:sz w:val="18"/>
          <w:szCs w:val="18"/>
        </w:rPr>
        <w:t>Fuente: Propuesta de Estándar de las Direcciones Urbanas para los Equipamientos del Ministerio de Educación, Versión 4.0, Marzo de 2009</w:t>
      </w:r>
    </w:p>
    <w:p w14:paraId="3D3756BE" w14:textId="77777777" w:rsidR="00976C18" w:rsidRDefault="00976C18" w:rsidP="00DC0FBB">
      <w:pPr>
        <w:pStyle w:val="Prrafodelista"/>
        <w:jc w:val="center"/>
        <w:rPr>
          <w:rFonts w:ascii="Verdana" w:hAnsi="Verdana" w:cs="Arial"/>
          <w:i/>
          <w:iCs/>
          <w:sz w:val="18"/>
          <w:szCs w:val="18"/>
        </w:rPr>
      </w:pPr>
    </w:p>
    <w:p w14:paraId="2DA6DE7B" w14:textId="77777777" w:rsidR="00976C18" w:rsidRPr="00976C18" w:rsidRDefault="00976C18" w:rsidP="00DC0FBB">
      <w:pPr>
        <w:pStyle w:val="Prrafodelista"/>
        <w:jc w:val="center"/>
        <w:rPr>
          <w:rFonts w:ascii="Verdana" w:hAnsi="Verdana" w:cs="Arial"/>
          <w:i/>
          <w:iCs/>
          <w:sz w:val="18"/>
          <w:szCs w:val="18"/>
        </w:rPr>
      </w:pPr>
    </w:p>
    <w:p w14:paraId="1AE470F8" w14:textId="77777777" w:rsidR="00DC0FBB" w:rsidRPr="00F10EFE" w:rsidRDefault="00DC0FBB" w:rsidP="00DC0FBB">
      <w:pPr>
        <w:pStyle w:val="Prrafodelista"/>
        <w:rPr>
          <w:rFonts w:ascii="Verdana" w:hAnsi="Verdana" w:cs="Arial"/>
          <w:sz w:val="22"/>
          <w:szCs w:val="22"/>
        </w:rPr>
      </w:pPr>
    </w:p>
    <w:p w14:paraId="48CE9849" w14:textId="77777777" w:rsidR="00DC0FBB" w:rsidRPr="00F10EFE" w:rsidRDefault="00DC0FBB" w:rsidP="00DC0FBB">
      <w:pPr>
        <w:pStyle w:val="Prrafodelista"/>
        <w:rPr>
          <w:rFonts w:ascii="Verdana" w:hAnsi="Verdana" w:cs="Arial"/>
          <w:sz w:val="22"/>
          <w:szCs w:val="22"/>
        </w:rPr>
      </w:pPr>
      <w:r w:rsidRPr="00F10EFE">
        <w:rPr>
          <w:rFonts w:ascii="Verdana" w:hAnsi="Verdana" w:cs="Arial"/>
          <w:noProof/>
          <w:sz w:val="22"/>
          <w:szCs w:val="22"/>
          <w:lang w:eastAsia="es-CO"/>
        </w:rPr>
        <w:drawing>
          <wp:inline distT="0" distB="0" distL="0" distR="0" wp14:anchorId="3E45DE53" wp14:editId="5288F3F6">
            <wp:extent cx="5421608" cy="2244725"/>
            <wp:effectExtent l="0" t="0" r="1905" b="3175"/>
            <wp:docPr id="92431388" name="Imagen 19"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31388" name="Imagen 19" descr="Tabla&#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37840" cy="2251446"/>
                    </a:xfrm>
                    <a:prstGeom prst="rect">
                      <a:avLst/>
                    </a:prstGeom>
                    <a:noFill/>
                    <a:ln>
                      <a:noFill/>
                    </a:ln>
                  </pic:spPr>
                </pic:pic>
              </a:graphicData>
            </a:graphic>
          </wp:inline>
        </w:drawing>
      </w:r>
    </w:p>
    <w:p w14:paraId="68FDF9F6" w14:textId="77777777" w:rsidR="0088178C" w:rsidRDefault="0088178C" w:rsidP="00DC0FBB">
      <w:pPr>
        <w:pStyle w:val="Prrafodelista"/>
        <w:jc w:val="center"/>
        <w:rPr>
          <w:rFonts w:ascii="Verdana" w:hAnsi="Verdana" w:cs="Arial"/>
          <w:i/>
          <w:iCs/>
          <w:sz w:val="20"/>
        </w:rPr>
      </w:pPr>
    </w:p>
    <w:p w14:paraId="38B4F938" w14:textId="59E95F68" w:rsidR="00DC0FBB" w:rsidRPr="00976C18" w:rsidRDefault="00DC0FBB" w:rsidP="00DC0FBB">
      <w:pPr>
        <w:pStyle w:val="Prrafodelista"/>
        <w:jc w:val="center"/>
        <w:rPr>
          <w:rFonts w:ascii="Verdana" w:hAnsi="Verdana" w:cs="Arial"/>
          <w:i/>
          <w:iCs/>
          <w:sz w:val="18"/>
          <w:szCs w:val="18"/>
        </w:rPr>
      </w:pPr>
      <w:r w:rsidRPr="00976C18">
        <w:rPr>
          <w:rFonts w:ascii="Verdana" w:hAnsi="Verdana" w:cs="Arial"/>
          <w:i/>
          <w:iCs/>
          <w:sz w:val="18"/>
          <w:szCs w:val="18"/>
        </w:rPr>
        <w:t>Fuente: Propuesta de Estándar de las Direcciones Urbanas para los Equipamientos del Ministerio de Educación, Versión 4.0, Marzo de 2009.</w:t>
      </w:r>
    </w:p>
    <w:p w14:paraId="11C9A4E0" w14:textId="77777777" w:rsidR="00DC0FBB" w:rsidRPr="00DC0FBB" w:rsidRDefault="00DC0FBB" w:rsidP="00DC0FBB">
      <w:pPr>
        <w:rPr>
          <w:rFonts w:ascii="Verdana" w:hAnsi="Verdana" w:cs="Arial"/>
          <w:i/>
          <w:iCs/>
          <w:sz w:val="20"/>
        </w:rPr>
      </w:pPr>
    </w:p>
    <w:p w14:paraId="7FC6DC72" w14:textId="77777777" w:rsidR="00DC0FBB" w:rsidRPr="00F10EFE" w:rsidRDefault="00DC0FBB" w:rsidP="00DC0FBB">
      <w:pPr>
        <w:rPr>
          <w:rFonts w:ascii="Verdana" w:hAnsi="Verdana" w:cs="Arial"/>
          <w:sz w:val="22"/>
          <w:szCs w:val="22"/>
        </w:rPr>
      </w:pPr>
    </w:p>
    <w:p w14:paraId="0B03EEAA" w14:textId="77777777" w:rsidR="00DC0FBB" w:rsidRDefault="00DC0FBB" w:rsidP="00DC0FBB">
      <w:pPr>
        <w:pStyle w:val="Prrafodelista"/>
        <w:rPr>
          <w:rFonts w:ascii="Verdana" w:hAnsi="Verdana" w:cs="Arial"/>
          <w:sz w:val="22"/>
          <w:szCs w:val="22"/>
        </w:rPr>
      </w:pPr>
    </w:p>
    <w:p w14:paraId="193AAD8B" w14:textId="77777777" w:rsidR="0088178C" w:rsidRDefault="0088178C" w:rsidP="00DC0FBB">
      <w:pPr>
        <w:pStyle w:val="Prrafodelista"/>
        <w:rPr>
          <w:rFonts w:ascii="Verdana" w:hAnsi="Verdana" w:cs="Arial"/>
          <w:sz w:val="22"/>
          <w:szCs w:val="22"/>
        </w:rPr>
      </w:pPr>
    </w:p>
    <w:p w14:paraId="239F88DB" w14:textId="77777777" w:rsidR="0088178C" w:rsidRDefault="0088178C" w:rsidP="00DC0FBB">
      <w:pPr>
        <w:pStyle w:val="Prrafodelista"/>
        <w:rPr>
          <w:rFonts w:ascii="Verdana" w:hAnsi="Verdana" w:cs="Arial"/>
          <w:sz w:val="22"/>
          <w:szCs w:val="22"/>
        </w:rPr>
      </w:pPr>
    </w:p>
    <w:p w14:paraId="5B315723" w14:textId="77777777" w:rsidR="0088178C" w:rsidRDefault="0088178C" w:rsidP="00DC0FBB">
      <w:pPr>
        <w:pStyle w:val="Prrafodelista"/>
        <w:rPr>
          <w:rFonts w:ascii="Verdana" w:hAnsi="Verdana" w:cs="Arial"/>
          <w:sz w:val="22"/>
          <w:szCs w:val="22"/>
        </w:rPr>
      </w:pPr>
    </w:p>
    <w:p w14:paraId="60129D08" w14:textId="77777777" w:rsidR="00976C18" w:rsidRDefault="00976C18" w:rsidP="00DC0FBB">
      <w:pPr>
        <w:pStyle w:val="Prrafodelista"/>
        <w:rPr>
          <w:rFonts w:ascii="Verdana" w:hAnsi="Verdana" w:cs="Arial"/>
          <w:sz w:val="22"/>
          <w:szCs w:val="22"/>
        </w:rPr>
      </w:pPr>
    </w:p>
    <w:p w14:paraId="30E79CF1" w14:textId="77777777" w:rsidR="00DC0FBB" w:rsidRPr="00F10EFE" w:rsidRDefault="00DC0FBB" w:rsidP="00B863F1">
      <w:pPr>
        <w:pStyle w:val="Subttulo"/>
        <w:numPr>
          <w:ilvl w:val="0"/>
          <w:numId w:val="8"/>
        </w:numPr>
        <w:spacing w:after="0"/>
        <w:ind w:left="426" w:hanging="426"/>
        <w:rPr>
          <w:rFonts w:ascii="Verdana" w:hAnsi="Verdana"/>
          <w:sz w:val="22"/>
          <w:szCs w:val="22"/>
        </w:rPr>
      </w:pPr>
      <w:bookmarkStart w:id="15" w:name="_Toc531360113"/>
      <w:r w:rsidRPr="00F10EFE">
        <w:rPr>
          <w:rFonts w:ascii="Verdana" w:hAnsi="Verdana"/>
          <w:sz w:val="22"/>
          <w:szCs w:val="22"/>
        </w:rPr>
        <w:lastRenderedPageBreak/>
        <w:t>APENDICE 3: Estructura del Número Predial Nacional</w:t>
      </w:r>
      <w:bookmarkEnd w:id="15"/>
    </w:p>
    <w:p w14:paraId="407C9155" w14:textId="77777777" w:rsidR="00DC0FBB" w:rsidRPr="00F10EFE" w:rsidRDefault="00DC0FBB" w:rsidP="00DC0FBB">
      <w:pPr>
        <w:pStyle w:val="Prrafodelista"/>
        <w:rPr>
          <w:rFonts w:ascii="Verdana" w:hAnsi="Verdana" w:cs="Arial"/>
          <w:sz w:val="22"/>
          <w:szCs w:val="22"/>
        </w:rPr>
      </w:pPr>
    </w:p>
    <w:p w14:paraId="07A3FABE" w14:textId="77777777" w:rsidR="00DC0FBB" w:rsidRPr="00DC0FBB" w:rsidRDefault="00DC0FBB" w:rsidP="00DC0FBB">
      <w:pPr>
        <w:rPr>
          <w:rFonts w:ascii="Verdana" w:hAnsi="Verdana" w:cs="Arial"/>
          <w:sz w:val="22"/>
          <w:szCs w:val="22"/>
        </w:rPr>
      </w:pPr>
      <w:r w:rsidRPr="00DC0FBB">
        <w:rPr>
          <w:rFonts w:ascii="Verdana" w:hAnsi="Verdana" w:cs="Arial"/>
          <w:sz w:val="22"/>
          <w:szCs w:val="22"/>
        </w:rPr>
        <w:t>La siguiente imagen muestra la estructura del Número Predial Nacional:</w:t>
      </w:r>
    </w:p>
    <w:p w14:paraId="38D70BB0" w14:textId="11AC0B41" w:rsidR="00DC0FBB" w:rsidRPr="00F10EFE" w:rsidRDefault="00976C18" w:rsidP="00DC0FBB">
      <w:pPr>
        <w:pStyle w:val="Prrafodelista"/>
        <w:rPr>
          <w:rFonts w:ascii="Verdana" w:hAnsi="Verdana" w:cs="Arial"/>
          <w:sz w:val="22"/>
          <w:szCs w:val="22"/>
        </w:rPr>
      </w:pPr>
      <w:r w:rsidRPr="00F10EFE">
        <w:rPr>
          <w:rFonts w:ascii="Verdana" w:hAnsi="Verdana" w:cs="Arial"/>
          <w:noProof/>
          <w:sz w:val="22"/>
          <w:szCs w:val="22"/>
          <w:lang w:eastAsia="es-CO"/>
        </w:rPr>
        <w:drawing>
          <wp:anchor distT="0" distB="0" distL="114300" distR="114300" simplePos="0" relativeHeight="251660288" behindDoc="1" locked="0" layoutInCell="1" allowOverlap="1" wp14:anchorId="5152A56D" wp14:editId="1C419577">
            <wp:simplePos x="0" y="0"/>
            <wp:positionH relativeFrom="column">
              <wp:posOffset>4917</wp:posOffset>
            </wp:positionH>
            <wp:positionV relativeFrom="paragraph">
              <wp:posOffset>170394</wp:posOffset>
            </wp:positionV>
            <wp:extent cx="5902859" cy="3629660"/>
            <wp:effectExtent l="0" t="0" r="3175" b="2540"/>
            <wp:wrapNone/>
            <wp:docPr id="86910014" name="Imagen 18"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10014" name="Imagen 18" descr="Interfaz de usuario gráfica, Aplicación, Word&#10;&#10;Descripción generada automáticamente"/>
                    <pic:cNvPicPr>
                      <a:picLocks noChangeAspect="1" noChangeArrowheads="1"/>
                    </pic:cNvPicPr>
                  </pic:nvPicPr>
                  <pic:blipFill>
                    <a:blip r:embed="rId16">
                      <a:extLst>
                        <a:ext uri="{28A0092B-C50C-407E-A947-70E740481C1C}">
                          <a14:useLocalDpi xmlns:a14="http://schemas.microsoft.com/office/drawing/2010/main" val="0"/>
                        </a:ext>
                      </a:extLst>
                    </a:blip>
                    <a:srcRect l="6932" t="22610" r="62308" b="33784"/>
                    <a:stretch>
                      <a:fillRect/>
                    </a:stretch>
                  </pic:blipFill>
                  <pic:spPr bwMode="auto">
                    <a:xfrm>
                      <a:off x="0" y="0"/>
                      <a:ext cx="5906400" cy="363183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E82F69" w14:textId="71E5A306" w:rsidR="00DC0FBB" w:rsidRPr="00F10EFE" w:rsidRDefault="00DC0FBB" w:rsidP="00976C18">
      <w:pPr>
        <w:pStyle w:val="Prrafodelista"/>
        <w:jc w:val="center"/>
        <w:rPr>
          <w:rFonts w:ascii="Verdana" w:hAnsi="Verdana" w:cs="Arial"/>
          <w:sz w:val="22"/>
          <w:szCs w:val="22"/>
        </w:rPr>
      </w:pPr>
    </w:p>
    <w:p w14:paraId="474F63FD" w14:textId="77777777" w:rsidR="00976C18" w:rsidRDefault="00976C18" w:rsidP="00DC0FBB">
      <w:pPr>
        <w:pStyle w:val="Prrafodelista"/>
        <w:jc w:val="center"/>
        <w:rPr>
          <w:rFonts w:ascii="Verdana" w:hAnsi="Verdana" w:cs="Arial"/>
          <w:i/>
          <w:iCs/>
          <w:sz w:val="20"/>
        </w:rPr>
      </w:pPr>
    </w:p>
    <w:p w14:paraId="7C822336" w14:textId="77777777" w:rsidR="00976C18" w:rsidRDefault="00976C18" w:rsidP="00DC0FBB">
      <w:pPr>
        <w:pStyle w:val="Prrafodelista"/>
        <w:jc w:val="center"/>
        <w:rPr>
          <w:rFonts w:ascii="Verdana" w:hAnsi="Verdana" w:cs="Arial"/>
          <w:i/>
          <w:iCs/>
          <w:sz w:val="20"/>
        </w:rPr>
      </w:pPr>
    </w:p>
    <w:p w14:paraId="054CEB29" w14:textId="77777777" w:rsidR="00976C18" w:rsidRDefault="00976C18" w:rsidP="00DC0FBB">
      <w:pPr>
        <w:pStyle w:val="Prrafodelista"/>
        <w:jc w:val="center"/>
        <w:rPr>
          <w:rFonts w:ascii="Verdana" w:hAnsi="Verdana" w:cs="Arial"/>
          <w:i/>
          <w:iCs/>
          <w:sz w:val="20"/>
        </w:rPr>
      </w:pPr>
    </w:p>
    <w:p w14:paraId="073FCE29" w14:textId="77777777" w:rsidR="00976C18" w:rsidRDefault="00976C18" w:rsidP="00DC0FBB">
      <w:pPr>
        <w:pStyle w:val="Prrafodelista"/>
        <w:jc w:val="center"/>
        <w:rPr>
          <w:rFonts w:ascii="Verdana" w:hAnsi="Verdana" w:cs="Arial"/>
          <w:i/>
          <w:iCs/>
          <w:sz w:val="20"/>
        </w:rPr>
      </w:pPr>
    </w:p>
    <w:p w14:paraId="388BE2B5" w14:textId="77777777" w:rsidR="00976C18" w:rsidRDefault="00976C18" w:rsidP="00DC0FBB">
      <w:pPr>
        <w:pStyle w:val="Prrafodelista"/>
        <w:jc w:val="center"/>
        <w:rPr>
          <w:rFonts w:ascii="Verdana" w:hAnsi="Verdana" w:cs="Arial"/>
          <w:i/>
          <w:iCs/>
          <w:sz w:val="20"/>
        </w:rPr>
      </w:pPr>
    </w:p>
    <w:p w14:paraId="2D81EB9B" w14:textId="77777777" w:rsidR="00976C18" w:rsidRDefault="00976C18" w:rsidP="00DC0FBB">
      <w:pPr>
        <w:pStyle w:val="Prrafodelista"/>
        <w:jc w:val="center"/>
        <w:rPr>
          <w:rFonts w:ascii="Verdana" w:hAnsi="Verdana" w:cs="Arial"/>
          <w:i/>
          <w:iCs/>
          <w:sz w:val="20"/>
        </w:rPr>
      </w:pPr>
    </w:p>
    <w:p w14:paraId="489B7909" w14:textId="77777777" w:rsidR="00976C18" w:rsidRDefault="00976C18" w:rsidP="00DC0FBB">
      <w:pPr>
        <w:pStyle w:val="Prrafodelista"/>
        <w:jc w:val="center"/>
        <w:rPr>
          <w:rFonts w:ascii="Verdana" w:hAnsi="Verdana" w:cs="Arial"/>
          <w:i/>
          <w:iCs/>
          <w:sz w:val="20"/>
        </w:rPr>
      </w:pPr>
    </w:p>
    <w:p w14:paraId="1A442217" w14:textId="77777777" w:rsidR="00976C18" w:rsidRDefault="00976C18" w:rsidP="00DC0FBB">
      <w:pPr>
        <w:pStyle w:val="Prrafodelista"/>
        <w:jc w:val="center"/>
        <w:rPr>
          <w:rFonts w:ascii="Verdana" w:hAnsi="Verdana" w:cs="Arial"/>
          <w:i/>
          <w:iCs/>
          <w:sz w:val="20"/>
        </w:rPr>
      </w:pPr>
    </w:p>
    <w:p w14:paraId="22CD0146" w14:textId="77777777" w:rsidR="00976C18" w:rsidRDefault="00976C18" w:rsidP="00DC0FBB">
      <w:pPr>
        <w:pStyle w:val="Prrafodelista"/>
        <w:jc w:val="center"/>
        <w:rPr>
          <w:rFonts w:ascii="Verdana" w:hAnsi="Verdana" w:cs="Arial"/>
          <w:i/>
          <w:iCs/>
          <w:sz w:val="20"/>
        </w:rPr>
      </w:pPr>
    </w:p>
    <w:p w14:paraId="51DBB305" w14:textId="77777777" w:rsidR="00976C18" w:rsidRDefault="00976C18" w:rsidP="00DC0FBB">
      <w:pPr>
        <w:pStyle w:val="Prrafodelista"/>
        <w:jc w:val="center"/>
        <w:rPr>
          <w:rFonts w:ascii="Verdana" w:hAnsi="Verdana" w:cs="Arial"/>
          <w:i/>
          <w:iCs/>
          <w:sz w:val="20"/>
        </w:rPr>
      </w:pPr>
    </w:p>
    <w:p w14:paraId="7836ECED" w14:textId="77777777" w:rsidR="00976C18" w:rsidRDefault="00976C18" w:rsidP="00DC0FBB">
      <w:pPr>
        <w:pStyle w:val="Prrafodelista"/>
        <w:jc w:val="center"/>
        <w:rPr>
          <w:rFonts w:ascii="Verdana" w:hAnsi="Verdana" w:cs="Arial"/>
          <w:i/>
          <w:iCs/>
          <w:sz w:val="20"/>
        </w:rPr>
      </w:pPr>
    </w:p>
    <w:p w14:paraId="318C28A7" w14:textId="77777777" w:rsidR="00976C18" w:rsidRDefault="00976C18" w:rsidP="00DC0FBB">
      <w:pPr>
        <w:pStyle w:val="Prrafodelista"/>
        <w:jc w:val="center"/>
        <w:rPr>
          <w:rFonts w:ascii="Verdana" w:hAnsi="Verdana" w:cs="Arial"/>
          <w:i/>
          <w:iCs/>
          <w:sz w:val="20"/>
        </w:rPr>
      </w:pPr>
    </w:p>
    <w:p w14:paraId="4F379A97" w14:textId="77777777" w:rsidR="00976C18" w:rsidRDefault="00976C18" w:rsidP="00DC0FBB">
      <w:pPr>
        <w:pStyle w:val="Prrafodelista"/>
        <w:jc w:val="center"/>
        <w:rPr>
          <w:rFonts w:ascii="Verdana" w:hAnsi="Verdana" w:cs="Arial"/>
          <w:i/>
          <w:iCs/>
          <w:sz w:val="20"/>
        </w:rPr>
      </w:pPr>
    </w:p>
    <w:p w14:paraId="5EDD0D37" w14:textId="77777777" w:rsidR="00976C18" w:rsidRDefault="00976C18" w:rsidP="00DC0FBB">
      <w:pPr>
        <w:pStyle w:val="Prrafodelista"/>
        <w:jc w:val="center"/>
        <w:rPr>
          <w:rFonts w:ascii="Verdana" w:hAnsi="Verdana" w:cs="Arial"/>
          <w:i/>
          <w:iCs/>
          <w:sz w:val="20"/>
        </w:rPr>
      </w:pPr>
    </w:p>
    <w:p w14:paraId="7844AD78" w14:textId="77777777" w:rsidR="00976C18" w:rsidRDefault="00976C18" w:rsidP="00DC0FBB">
      <w:pPr>
        <w:pStyle w:val="Prrafodelista"/>
        <w:jc w:val="center"/>
        <w:rPr>
          <w:rFonts w:ascii="Verdana" w:hAnsi="Verdana" w:cs="Arial"/>
          <w:i/>
          <w:iCs/>
          <w:sz w:val="20"/>
        </w:rPr>
      </w:pPr>
    </w:p>
    <w:p w14:paraId="43872587" w14:textId="77777777" w:rsidR="00976C18" w:rsidRDefault="00976C18" w:rsidP="00DC0FBB">
      <w:pPr>
        <w:pStyle w:val="Prrafodelista"/>
        <w:jc w:val="center"/>
        <w:rPr>
          <w:rFonts w:ascii="Verdana" w:hAnsi="Verdana" w:cs="Arial"/>
          <w:i/>
          <w:iCs/>
          <w:sz w:val="20"/>
        </w:rPr>
      </w:pPr>
    </w:p>
    <w:p w14:paraId="46F6B0FF" w14:textId="77777777" w:rsidR="00976C18" w:rsidRDefault="00976C18" w:rsidP="00DC0FBB">
      <w:pPr>
        <w:pStyle w:val="Prrafodelista"/>
        <w:jc w:val="center"/>
        <w:rPr>
          <w:rFonts w:ascii="Verdana" w:hAnsi="Verdana" w:cs="Arial"/>
          <w:i/>
          <w:iCs/>
          <w:sz w:val="20"/>
        </w:rPr>
      </w:pPr>
    </w:p>
    <w:p w14:paraId="37FFA1C1" w14:textId="77777777" w:rsidR="00976C18" w:rsidRDefault="00976C18" w:rsidP="00DC0FBB">
      <w:pPr>
        <w:pStyle w:val="Prrafodelista"/>
        <w:jc w:val="center"/>
        <w:rPr>
          <w:rFonts w:ascii="Verdana" w:hAnsi="Verdana" w:cs="Arial"/>
          <w:i/>
          <w:iCs/>
          <w:sz w:val="20"/>
        </w:rPr>
      </w:pPr>
    </w:p>
    <w:p w14:paraId="79ECCD47" w14:textId="77777777" w:rsidR="00976C18" w:rsidRDefault="00976C18" w:rsidP="00DC0FBB">
      <w:pPr>
        <w:pStyle w:val="Prrafodelista"/>
        <w:jc w:val="center"/>
        <w:rPr>
          <w:rFonts w:ascii="Verdana" w:hAnsi="Verdana" w:cs="Arial"/>
          <w:i/>
          <w:iCs/>
          <w:sz w:val="20"/>
        </w:rPr>
      </w:pPr>
    </w:p>
    <w:p w14:paraId="75DC98D5" w14:textId="77777777" w:rsidR="00976C18" w:rsidRDefault="00976C18" w:rsidP="00DC0FBB">
      <w:pPr>
        <w:pStyle w:val="Prrafodelista"/>
        <w:jc w:val="center"/>
        <w:rPr>
          <w:rFonts w:ascii="Verdana" w:hAnsi="Verdana" w:cs="Arial"/>
          <w:i/>
          <w:iCs/>
          <w:sz w:val="20"/>
        </w:rPr>
      </w:pPr>
    </w:p>
    <w:p w14:paraId="724F0DA2" w14:textId="77777777" w:rsidR="00976C18" w:rsidRDefault="00976C18" w:rsidP="00DC0FBB">
      <w:pPr>
        <w:pStyle w:val="Prrafodelista"/>
        <w:jc w:val="center"/>
        <w:rPr>
          <w:rFonts w:ascii="Verdana" w:hAnsi="Verdana" w:cs="Arial"/>
          <w:i/>
          <w:iCs/>
          <w:sz w:val="20"/>
        </w:rPr>
      </w:pPr>
    </w:p>
    <w:p w14:paraId="4B41BF49" w14:textId="77777777" w:rsidR="00976C18" w:rsidRDefault="00976C18" w:rsidP="00DC0FBB">
      <w:pPr>
        <w:pStyle w:val="Prrafodelista"/>
        <w:jc w:val="center"/>
        <w:rPr>
          <w:rFonts w:ascii="Verdana" w:hAnsi="Verdana" w:cs="Arial"/>
          <w:i/>
          <w:iCs/>
          <w:sz w:val="20"/>
        </w:rPr>
      </w:pPr>
    </w:p>
    <w:p w14:paraId="1B8B1D89" w14:textId="77777777" w:rsidR="00976C18" w:rsidRDefault="00976C18" w:rsidP="00DC0FBB">
      <w:pPr>
        <w:pStyle w:val="Prrafodelista"/>
        <w:jc w:val="center"/>
        <w:rPr>
          <w:rFonts w:ascii="Verdana" w:hAnsi="Verdana" w:cs="Arial"/>
          <w:i/>
          <w:iCs/>
          <w:sz w:val="20"/>
        </w:rPr>
      </w:pPr>
    </w:p>
    <w:p w14:paraId="626FAC21" w14:textId="345427E4" w:rsidR="00DC0FBB" w:rsidRPr="00DC0FBB" w:rsidRDefault="00DC0FBB" w:rsidP="00DC0FBB">
      <w:pPr>
        <w:pStyle w:val="Prrafodelista"/>
        <w:jc w:val="center"/>
        <w:rPr>
          <w:rFonts w:ascii="Verdana" w:hAnsi="Verdana" w:cs="Arial"/>
          <w:i/>
          <w:iCs/>
          <w:sz w:val="20"/>
        </w:rPr>
      </w:pPr>
      <w:r w:rsidRPr="00DC0FBB">
        <w:rPr>
          <w:rFonts w:ascii="Verdana" w:hAnsi="Verdana" w:cs="Arial"/>
          <w:i/>
          <w:iCs/>
          <w:sz w:val="20"/>
        </w:rPr>
        <w:t>Fuente: tomado del artículo 159, Resolución 70 de 2011 – IGAC.</w:t>
      </w:r>
    </w:p>
    <w:p w14:paraId="1728CBD0" w14:textId="77777777" w:rsidR="00976C18" w:rsidRDefault="00976C18" w:rsidP="00DC0FBB">
      <w:pPr>
        <w:rPr>
          <w:rFonts w:ascii="Verdana" w:hAnsi="Verdana" w:cs="Arial"/>
          <w:sz w:val="22"/>
          <w:szCs w:val="22"/>
        </w:rPr>
      </w:pPr>
    </w:p>
    <w:p w14:paraId="26D3A625" w14:textId="1DC12EB0" w:rsidR="00DC0FBB" w:rsidRPr="00DC0FBB" w:rsidRDefault="00DC0FBB" w:rsidP="00DC0FBB">
      <w:pPr>
        <w:rPr>
          <w:rFonts w:ascii="Verdana" w:hAnsi="Verdana" w:cs="Arial"/>
          <w:sz w:val="22"/>
          <w:szCs w:val="22"/>
        </w:rPr>
      </w:pPr>
      <w:r w:rsidRPr="00DC0FBB">
        <w:rPr>
          <w:rFonts w:ascii="Verdana" w:hAnsi="Verdana" w:cs="Arial"/>
          <w:sz w:val="22"/>
          <w:szCs w:val="22"/>
        </w:rPr>
        <w:t>Por otro lado, tanto en el Estudio de Viabilidad Técnica y en el aplicativo ICT-INURBE, el campo de Cédula Catastral o N° Predial será escrito separado por guiones de la siguiente forma: 00-00-0000-0000-000 y de acuerdo a la estructura del Número Predial Nacional, las posiciones son: Zona – Sector/Barrio - Manzana/Vereda - Terreno – Condición de Propiedad.</w:t>
      </w:r>
    </w:p>
    <w:p w14:paraId="3E60DDCD" w14:textId="77777777" w:rsidR="00DC0FBB" w:rsidRPr="00F10EFE" w:rsidRDefault="00DC0FBB" w:rsidP="00DC0FBB">
      <w:pPr>
        <w:rPr>
          <w:rFonts w:ascii="Verdana" w:hAnsi="Verdana" w:cs="Arial"/>
          <w:b/>
          <w:sz w:val="22"/>
          <w:szCs w:val="22"/>
        </w:rPr>
      </w:pPr>
    </w:p>
    <w:p w14:paraId="2529DA44" w14:textId="331FB804" w:rsidR="00DC0FBB" w:rsidRPr="00DC0FBB" w:rsidRDefault="00DC0FBB" w:rsidP="00B863F1">
      <w:pPr>
        <w:pStyle w:val="Prrafodelista"/>
        <w:numPr>
          <w:ilvl w:val="0"/>
          <w:numId w:val="2"/>
        </w:numPr>
        <w:ind w:left="567" w:hanging="567"/>
        <w:rPr>
          <w:rFonts w:ascii="Verdana" w:hAnsi="Verdana" w:cs="Arial"/>
          <w:b/>
          <w:sz w:val="22"/>
          <w:szCs w:val="22"/>
        </w:rPr>
      </w:pPr>
      <w:r w:rsidRPr="00DC0FBB">
        <w:rPr>
          <w:rFonts w:ascii="Verdana" w:hAnsi="Verdana" w:cs="Arial"/>
          <w:b/>
          <w:sz w:val="22"/>
          <w:szCs w:val="22"/>
        </w:rPr>
        <w:t>CONTROL DE CAMBIOS</w:t>
      </w:r>
    </w:p>
    <w:p w14:paraId="13720438" w14:textId="77777777" w:rsidR="00DC0FBB" w:rsidRPr="00F10EFE" w:rsidRDefault="00DC0FBB" w:rsidP="0088178C">
      <w:pPr>
        <w:rPr>
          <w:rFonts w:ascii="Verdana" w:hAnsi="Verdana" w:cs="Arial"/>
          <w:bCs/>
          <w:sz w:val="22"/>
          <w:szCs w:val="22"/>
        </w:rPr>
      </w:pPr>
    </w:p>
    <w:tbl>
      <w:tblPr>
        <w:tblStyle w:val="NormalTable0"/>
        <w:tblpPr w:leftFromText="141" w:rightFromText="141" w:vertAnchor="text" w:tblpX="-39" w:tblpY="1"/>
        <w:tblOverlap w:val="never"/>
        <w:tblW w:w="10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1559"/>
        <w:gridCol w:w="4684"/>
        <w:gridCol w:w="2693"/>
      </w:tblGrid>
      <w:tr w:rsidR="00DC0FBB" w:rsidRPr="00F10EFE" w14:paraId="2E31661F" w14:textId="77777777" w:rsidTr="00DC0FBB">
        <w:trPr>
          <w:trHeight w:val="416"/>
          <w:tblHeader/>
        </w:trPr>
        <w:tc>
          <w:tcPr>
            <w:tcW w:w="1413" w:type="dxa"/>
            <w:shd w:val="clear" w:color="auto" w:fill="43B2D7"/>
            <w:vAlign w:val="center"/>
          </w:tcPr>
          <w:p w14:paraId="1818A154" w14:textId="77777777" w:rsidR="00DC0FBB" w:rsidRPr="00F10EFE" w:rsidRDefault="00DC0FBB" w:rsidP="00DC0FBB">
            <w:pPr>
              <w:pStyle w:val="TableParagraph"/>
              <w:spacing w:after="0" w:line="240" w:lineRule="auto"/>
              <w:ind w:right="233"/>
              <w:jc w:val="center"/>
              <w:rPr>
                <w:rFonts w:ascii="Verdana" w:hAnsi="Verdana" w:cs="Arial"/>
                <w:b/>
                <w:color w:val="FFFFFF" w:themeColor="background1"/>
                <w:sz w:val="22"/>
                <w:szCs w:val="22"/>
                <w:lang w:val="es-CO"/>
              </w:rPr>
            </w:pPr>
            <w:r w:rsidRPr="00F10EFE">
              <w:rPr>
                <w:rFonts w:ascii="Verdana" w:hAnsi="Verdana" w:cs="Arial"/>
                <w:b/>
                <w:color w:val="FFFFFF" w:themeColor="background1"/>
                <w:sz w:val="22"/>
                <w:szCs w:val="22"/>
                <w:lang w:val="es-CO"/>
              </w:rPr>
              <w:t>VERSIÓN</w:t>
            </w:r>
          </w:p>
        </w:tc>
        <w:tc>
          <w:tcPr>
            <w:tcW w:w="1559" w:type="dxa"/>
            <w:shd w:val="clear" w:color="auto" w:fill="43B2D7"/>
            <w:vAlign w:val="center"/>
          </w:tcPr>
          <w:p w14:paraId="03F1C3D9" w14:textId="77777777" w:rsidR="00DC0FBB" w:rsidRPr="00F10EFE" w:rsidRDefault="00DC0FBB" w:rsidP="00DC0FBB">
            <w:pPr>
              <w:pStyle w:val="TableParagraph"/>
              <w:spacing w:after="0" w:line="240" w:lineRule="auto"/>
              <w:jc w:val="center"/>
              <w:rPr>
                <w:rFonts w:ascii="Verdana" w:hAnsi="Verdana" w:cs="Arial"/>
                <w:b/>
                <w:color w:val="FFFFFF" w:themeColor="background1"/>
                <w:sz w:val="22"/>
                <w:szCs w:val="22"/>
                <w:lang w:val="es-CO"/>
              </w:rPr>
            </w:pPr>
            <w:r w:rsidRPr="00F10EFE">
              <w:rPr>
                <w:rFonts w:ascii="Verdana" w:hAnsi="Verdana" w:cs="Arial"/>
                <w:b/>
                <w:color w:val="FFFFFF" w:themeColor="background1"/>
                <w:sz w:val="22"/>
                <w:szCs w:val="22"/>
                <w:lang w:val="es-CO"/>
              </w:rPr>
              <w:t>FECHA</w:t>
            </w:r>
          </w:p>
        </w:tc>
        <w:tc>
          <w:tcPr>
            <w:tcW w:w="4684" w:type="dxa"/>
            <w:shd w:val="clear" w:color="auto" w:fill="43B2D7"/>
            <w:vAlign w:val="center"/>
          </w:tcPr>
          <w:p w14:paraId="6CF31560" w14:textId="77777777" w:rsidR="00DC0FBB" w:rsidRPr="00F10EFE" w:rsidRDefault="00DC0FBB" w:rsidP="00DC0FBB">
            <w:pPr>
              <w:pStyle w:val="TableParagraph"/>
              <w:spacing w:after="0" w:line="240" w:lineRule="auto"/>
              <w:jc w:val="center"/>
              <w:rPr>
                <w:rFonts w:ascii="Verdana" w:hAnsi="Verdana" w:cs="Arial"/>
                <w:b/>
                <w:color w:val="FFFFFF" w:themeColor="background1"/>
                <w:sz w:val="22"/>
                <w:szCs w:val="22"/>
                <w:lang w:val="es-CO"/>
              </w:rPr>
            </w:pPr>
            <w:r w:rsidRPr="00F10EFE">
              <w:rPr>
                <w:rFonts w:ascii="Verdana" w:hAnsi="Verdana" w:cs="Arial"/>
                <w:b/>
                <w:color w:val="FFFFFF" w:themeColor="background1"/>
                <w:sz w:val="22"/>
                <w:szCs w:val="22"/>
                <w:lang w:val="es-CO"/>
              </w:rPr>
              <w:t>MOTIVO</w:t>
            </w:r>
            <w:r w:rsidRPr="00F10EFE">
              <w:rPr>
                <w:rFonts w:ascii="Verdana" w:hAnsi="Verdana" w:cs="Arial"/>
                <w:b/>
                <w:color w:val="FFFFFF" w:themeColor="background1"/>
                <w:spacing w:val="-1"/>
                <w:sz w:val="22"/>
                <w:szCs w:val="22"/>
                <w:lang w:val="es-CO"/>
              </w:rPr>
              <w:t xml:space="preserve"> </w:t>
            </w:r>
            <w:r w:rsidRPr="00F10EFE">
              <w:rPr>
                <w:rFonts w:ascii="Verdana" w:hAnsi="Verdana" w:cs="Arial"/>
                <w:b/>
                <w:color w:val="FFFFFF" w:themeColor="background1"/>
                <w:sz w:val="22"/>
                <w:szCs w:val="22"/>
                <w:lang w:val="es-CO"/>
              </w:rPr>
              <w:t>DE</w:t>
            </w:r>
            <w:r w:rsidRPr="00F10EFE">
              <w:rPr>
                <w:rFonts w:ascii="Verdana" w:hAnsi="Verdana" w:cs="Arial"/>
                <w:b/>
                <w:color w:val="FFFFFF" w:themeColor="background1"/>
                <w:spacing w:val="-1"/>
                <w:sz w:val="22"/>
                <w:szCs w:val="22"/>
                <w:lang w:val="es-CO"/>
              </w:rPr>
              <w:t xml:space="preserve"> </w:t>
            </w:r>
            <w:r w:rsidRPr="00F10EFE">
              <w:rPr>
                <w:rFonts w:ascii="Verdana" w:hAnsi="Verdana" w:cs="Arial"/>
                <w:b/>
                <w:color w:val="FFFFFF" w:themeColor="background1"/>
                <w:sz w:val="22"/>
                <w:szCs w:val="22"/>
                <w:lang w:val="es-CO"/>
              </w:rPr>
              <w:t>LA</w:t>
            </w:r>
            <w:r w:rsidRPr="00F10EFE">
              <w:rPr>
                <w:rFonts w:ascii="Verdana" w:hAnsi="Verdana" w:cs="Arial"/>
                <w:b/>
                <w:color w:val="FFFFFF" w:themeColor="background1"/>
                <w:spacing w:val="-6"/>
                <w:sz w:val="22"/>
                <w:szCs w:val="22"/>
                <w:lang w:val="es-CO"/>
              </w:rPr>
              <w:t xml:space="preserve"> </w:t>
            </w:r>
            <w:r w:rsidRPr="00F10EFE">
              <w:rPr>
                <w:rFonts w:ascii="Verdana" w:hAnsi="Verdana" w:cs="Arial"/>
                <w:b/>
                <w:color w:val="FFFFFF" w:themeColor="background1"/>
                <w:sz w:val="22"/>
                <w:szCs w:val="22"/>
                <w:lang w:val="es-CO"/>
              </w:rPr>
              <w:t>MODIFICACIÓN</w:t>
            </w:r>
          </w:p>
        </w:tc>
        <w:tc>
          <w:tcPr>
            <w:tcW w:w="2693" w:type="dxa"/>
            <w:shd w:val="clear" w:color="auto" w:fill="43B2D7"/>
            <w:vAlign w:val="center"/>
          </w:tcPr>
          <w:p w14:paraId="4487F0E5" w14:textId="77777777" w:rsidR="00DC0FBB" w:rsidRPr="00F10EFE" w:rsidRDefault="00DC0FBB" w:rsidP="00DC0FBB">
            <w:pPr>
              <w:pStyle w:val="TableParagraph"/>
              <w:spacing w:after="0" w:line="240" w:lineRule="auto"/>
              <w:jc w:val="center"/>
              <w:rPr>
                <w:rFonts w:ascii="Verdana" w:hAnsi="Verdana" w:cs="Arial"/>
                <w:b/>
                <w:color w:val="FFFFFF" w:themeColor="background1"/>
                <w:sz w:val="22"/>
                <w:szCs w:val="22"/>
                <w:lang w:val="es-CO"/>
              </w:rPr>
            </w:pPr>
            <w:r w:rsidRPr="00F10EFE">
              <w:rPr>
                <w:rFonts w:ascii="Verdana" w:hAnsi="Verdana" w:cs="Arial"/>
                <w:b/>
                <w:color w:val="FFFFFF" w:themeColor="background1"/>
                <w:sz w:val="22"/>
                <w:szCs w:val="22"/>
                <w:lang w:val="es-CO"/>
              </w:rPr>
              <w:t>RESPONSABLE</w:t>
            </w:r>
          </w:p>
        </w:tc>
      </w:tr>
      <w:tr w:rsidR="00DC0FBB" w:rsidRPr="00F10EFE" w14:paraId="2275C991" w14:textId="77777777" w:rsidTr="00DC0FBB">
        <w:trPr>
          <w:trHeight w:val="731"/>
        </w:trPr>
        <w:tc>
          <w:tcPr>
            <w:tcW w:w="1413" w:type="dxa"/>
            <w:vAlign w:val="center"/>
          </w:tcPr>
          <w:p w14:paraId="38278070" w14:textId="77777777" w:rsidR="00DC0FBB" w:rsidRPr="00DC0FBB" w:rsidRDefault="00DC0FBB" w:rsidP="00DC0FBB">
            <w:pPr>
              <w:pStyle w:val="TableParagraph"/>
              <w:spacing w:after="0" w:line="240" w:lineRule="auto"/>
              <w:jc w:val="center"/>
              <w:rPr>
                <w:rFonts w:ascii="Verdana" w:hAnsi="Verdana" w:cs="Arial"/>
                <w:bCs/>
                <w:lang w:val="es-CO"/>
              </w:rPr>
            </w:pPr>
            <w:r w:rsidRPr="00DC0FBB">
              <w:rPr>
                <w:rFonts w:ascii="Verdana" w:hAnsi="Verdana" w:cs="Arial"/>
                <w:bCs/>
                <w:lang w:val="es-CO"/>
              </w:rPr>
              <w:t>2.0</w:t>
            </w:r>
          </w:p>
        </w:tc>
        <w:tc>
          <w:tcPr>
            <w:tcW w:w="1559" w:type="dxa"/>
            <w:vAlign w:val="center"/>
          </w:tcPr>
          <w:p w14:paraId="5E7725F9" w14:textId="77777777" w:rsidR="00DC0FBB" w:rsidRPr="00DC0FBB" w:rsidRDefault="00DC0FBB" w:rsidP="00973D75">
            <w:pPr>
              <w:pStyle w:val="TableParagraph"/>
              <w:spacing w:after="0" w:line="240" w:lineRule="auto"/>
              <w:jc w:val="center"/>
              <w:rPr>
                <w:rFonts w:ascii="Verdana" w:hAnsi="Verdana" w:cs="Arial"/>
                <w:bCs/>
                <w:lang w:val="es-CO"/>
              </w:rPr>
            </w:pPr>
            <w:r w:rsidRPr="00DC0FBB">
              <w:rPr>
                <w:rFonts w:ascii="Verdana" w:hAnsi="Verdana" w:cs="Arial"/>
                <w:bCs/>
                <w:lang w:val="es-CO"/>
              </w:rPr>
              <w:t>12/04/2021</w:t>
            </w:r>
          </w:p>
        </w:tc>
        <w:tc>
          <w:tcPr>
            <w:tcW w:w="4684" w:type="dxa"/>
            <w:vAlign w:val="center"/>
          </w:tcPr>
          <w:p w14:paraId="1BF8A0C5" w14:textId="77777777" w:rsidR="00DC0FBB" w:rsidRPr="00DC0FBB" w:rsidRDefault="00DC0FBB" w:rsidP="00DC0FBB">
            <w:pPr>
              <w:spacing w:after="0" w:line="240" w:lineRule="auto"/>
              <w:ind w:right="139"/>
              <w:rPr>
                <w:rFonts w:ascii="Verdana" w:hAnsi="Verdana" w:cs="Arial"/>
                <w:sz w:val="20"/>
                <w:lang w:val="es-CO"/>
              </w:rPr>
            </w:pPr>
            <w:r w:rsidRPr="00DC0FBB">
              <w:rPr>
                <w:rFonts w:ascii="Verdana" w:eastAsia="Times New Roman" w:hAnsi="Verdana" w:cs="Times New Roman"/>
                <w:sz w:val="20"/>
                <w:lang w:val="es-CO"/>
              </w:rPr>
              <w:t xml:space="preserve">Se actualiza codificación de la documentación asociada por la nueva denominación del proceso Gestión a la Política de Vivienda –GPV y la estructura definida en la guía de </w:t>
            </w:r>
            <w:r w:rsidRPr="00DC0FBB">
              <w:rPr>
                <w:rFonts w:ascii="Verdana" w:eastAsia="Times New Roman" w:hAnsi="Verdana" w:cs="Times New Roman"/>
                <w:sz w:val="20"/>
                <w:lang w:val="es-CO"/>
              </w:rPr>
              <w:lastRenderedPageBreak/>
              <w:t>elaboración de documentación del SIG DET-G-04 Versión 5.0</w:t>
            </w:r>
          </w:p>
        </w:tc>
        <w:tc>
          <w:tcPr>
            <w:tcW w:w="2693" w:type="dxa"/>
            <w:vAlign w:val="center"/>
          </w:tcPr>
          <w:p w14:paraId="2C3C5AD8" w14:textId="77777777" w:rsidR="00DC0FBB" w:rsidRPr="00DC0FBB" w:rsidRDefault="00DC0FBB" w:rsidP="00DC0FBB">
            <w:pPr>
              <w:spacing w:after="0" w:line="240" w:lineRule="auto"/>
              <w:jc w:val="center"/>
              <w:rPr>
                <w:rFonts w:ascii="Verdana" w:hAnsi="Verdana" w:cs="Arial"/>
                <w:sz w:val="20"/>
                <w:lang w:val="es-CO"/>
              </w:rPr>
            </w:pPr>
            <w:r w:rsidRPr="00DC0FBB">
              <w:rPr>
                <w:rFonts w:ascii="Verdana" w:hAnsi="Verdana" w:cs="Arial"/>
                <w:sz w:val="20"/>
                <w:lang w:val="es-CO"/>
              </w:rPr>
              <w:lastRenderedPageBreak/>
              <w:t>Coordinador del GTSP</w:t>
            </w:r>
          </w:p>
        </w:tc>
      </w:tr>
      <w:tr w:rsidR="00DC0FBB" w:rsidRPr="00F10EFE" w14:paraId="16B9AE08" w14:textId="77777777" w:rsidTr="00DC0FBB">
        <w:trPr>
          <w:trHeight w:val="731"/>
        </w:trPr>
        <w:tc>
          <w:tcPr>
            <w:tcW w:w="1413" w:type="dxa"/>
            <w:vAlign w:val="center"/>
          </w:tcPr>
          <w:p w14:paraId="1BC282E4" w14:textId="77777777" w:rsidR="00DC0FBB" w:rsidRPr="00DC0FBB" w:rsidRDefault="00DC0FBB" w:rsidP="00DC0FBB">
            <w:pPr>
              <w:pStyle w:val="TableParagraph"/>
              <w:spacing w:after="0" w:line="240" w:lineRule="auto"/>
              <w:jc w:val="center"/>
              <w:rPr>
                <w:rFonts w:ascii="Verdana" w:hAnsi="Verdana" w:cs="Arial"/>
                <w:bCs/>
                <w:lang w:val="es-CO"/>
              </w:rPr>
            </w:pPr>
            <w:r w:rsidRPr="00DC0FBB">
              <w:rPr>
                <w:rFonts w:ascii="Verdana" w:hAnsi="Verdana" w:cs="Arial"/>
                <w:bCs/>
                <w:lang w:val="es-CO"/>
              </w:rPr>
              <w:t>3.0</w:t>
            </w:r>
          </w:p>
        </w:tc>
        <w:tc>
          <w:tcPr>
            <w:tcW w:w="1559" w:type="dxa"/>
            <w:vAlign w:val="center"/>
          </w:tcPr>
          <w:p w14:paraId="102415AF" w14:textId="13249DAB" w:rsidR="00DC0FBB" w:rsidRPr="00DC0FBB" w:rsidRDefault="00F801EA" w:rsidP="00973D75">
            <w:pPr>
              <w:pStyle w:val="TableParagraph"/>
              <w:spacing w:after="0" w:line="240" w:lineRule="auto"/>
              <w:jc w:val="center"/>
              <w:rPr>
                <w:rFonts w:ascii="Verdana" w:hAnsi="Verdana" w:cs="Arial"/>
                <w:bCs/>
                <w:lang w:val="es-CO"/>
              </w:rPr>
            </w:pPr>
            <w:r>
              <w:rPr>
                <w:rFonts w:ascii="Verdana" w:hAnsi="Verdana" w:cs="Arial"/>
                <w:bCs/>
                <w:lang w:val="es-CO"/>
              </w:rPr>
              <w:t>1</w:t>
            </w:r>
            <w:r w:rsidR="00973D75">
              <w:rPr>
                <w:rFonts w:ascii="Verdana" w:hAnsi="Verdana" w:cs="Arial"/>
                <w:bCs/>
                <w:lang w:val="es-CO"/>
              </w:rPr>
              <w:t>2</w:t>
            </w:r>
            <w:r w:rsidR="00DC0FBB" w:rsidRPr="00DC0FBB">
              <w:rPr>
                <w:rFonts w:ascii="Verdana" w:hAnsi="Verdana" w:cs="Arial"/>
                <w:bCs/>
                <w:lang w:val="es-CO"/>
              </w:rPr>
              <w:t>/1</w:t>
            </w:r>
            <w:r w:rsidR="00BB04A9">
              <w:rPr>
                <w:rFonts w:ascii="Verdana" w:hAnsi="Verdana" w:cs="Arial"/>
                <w:bCs/>
                <w:lang w:val="es-CO"/>
              </w:rPr>
              <w:t>2</w:t>
            </w:r>
            <w:r w:rsidR="00DC0FBB" w:rsidRPr="00DC0FBB">
              <w:rPr>
                <w:rFonts w:ascii="Verdana" w:hAnsi="Verdana" w:cs="Arial"/>
                <w:bCs/>
                <w:lang w:val="es-CO"/>
              </w:rPr>
              <w:t>/2024</w:t>
            </w:r>
          </w:p>
        </w:tc>
        <w:tc>
          <w:tcPr>
            <w:tcW w:w="4684" w:type="dxa"/>
            <w:vAlign w:val="center"/>
          </w:tcPr>
          <w:p w14:paraId="53609E89" w14:textId="77777777" w:rsidR="00DC0FBB" w:rsidRPr="00DC0FBB" w:rsidRDefault="00DC0FBB" w:rsidP="00DC0FBB">
            <w:pPr>
              <w:spacing w:after="0" w:line="240" w:lineRule="auto"/>
              <w:ind w:right="139"/>
              <w:rPr>
                <w:rFonts w:ascii="Verdana" w:hAnsi="Verdana"/>
                <w:sz w:val="20"/>
                <w:lang w:val="es-CO"/>
              </w:rPr>
            </w:pPr>
            <w:r w:rsidRPr="00DC0FBB">
              <w:rPr>
                <w:rFonts w:ascii="Verdana" w:hAnsi="Verdana"/>
                <w:sz w:val="20"/>
                <w:lang w:val="es-CO"/>
              </w:rPr>
              <w:t xml:space="preserve">Se </w:t>
            </w:r>
            <w:r w:rsidRPr="00DC0FBB">
              <w:rPr>
                <w:rFonts w:ascii="Verdana" w:eastAsia="Times New Roman" w:hAnsi="Verdana" w:cs="Times New Roman"/>
                <w:sz w:val="20"/>
                <w:lang w:val="es-CO"/>
              </w:rPr>
              <w:t>actualiza imagen institucional en aplicación del Manual de Identidad Visual y las características del documento en cumplimiento de los requisitos establecidos en el Manual de elaboración de documentación</w:t>
            </w:r>
            <w:r w:rsidRPr="00DC0FBB">
              <w:rPr>
                <w:rFonts w:ascii="Verdana" w:hAnsi="Verdana"/>
                <w:sz w:val="20"/>
                <w:lang w:val="es-CO"/>
              </w:rPr>
              <w:t xml:space="preserve"> del SIG DET-M-05 V3 del 20/08/2024 del MVCT.</w:t>
            </w:r>
          </w:p>
        </w:tc>
        <w:tc>
          <w:tcPr>
            <w:tcW w:w="2693" w:type="dxa"/>
            <w:vAlign w:val="center"/>
          </w:tcPr>
          <w:p w14:paraId="3CAEBDF1" w14:textId="77777777" w:rsidR="00DC0FBB" w:rsidRPr="00DC0FBB" w:rsidRDefault="00DC0FBB" w:rsidP="00DC0FBB">
            <w:pPr>
              <w:spacing w:after="0" w:line="240" w:lineRule="auto"/>
              <w:jc w:val="center"/>
              <w:rPr>
                <w:rFonts w:ascii="Verdana" w:hAnsi="Verdana" w:cs="Arial"/>
                <w:color w:val="FF0000"/>
                <w:sz w:val="20"/>
              </w:rPr>
            </w:pPr>
            <w:r w:rsidRPr="00DC0FBB">
              <w:rPr>
                <w:rFonts w:ascii="Verdana" w:hAnsi="Verdana" w:cs="Arial"/>
                <w:sz w:val="20"/>
                <w:lang w:val="es-CO"/>
              </w:rPr>
              <w:t>Coordinador del GTSP</w:t>
            </w:r>
          </w:p>
        </w:tc>
      </w:tr>
      <w:tr w:rsidR="00B863F1" w:rsidRPr="00F10EFE" w14:paraId="1D0D4AFD" w14:textId="77777777" w:rsidTr="00DC0FBB">
        <w:trPr>
          <w:trHeight w:val="731"/>
        </w:trPr>
        <w:tc>
          <w:tcPr>
            <w:tcW w:w="1413" w:type="dxa"/>
            <w:vAlign w:val="center"/>
          </w:tcPr>
          <w:p w14:paraId="7753713D" w14:textId="43572030" w:rsidR="00B863F1" w:rsidRPr="0088178C" w:rsidRDefault="00B863F1" w:rsidP="00DC0FBB">
            <w:pPr>
              <w:pStyle w:val="TableParagraph"/>
              <w:spacing w:after="0" w:line="240" w:lineRule="auto"/>
              <w:jc w:val="center"/>
              <w:rPr>
                <w:rFonts w:ascii="Verdana" w:hAnsi="Verdana" w:cs="Arial"/>
                <w:bCs/>
                <w:lang w:val="es-CO"/>
              </w:rPr>
            </w:pPr>
            <w:r w:rsidRPr="0088178C">
              <w:rPr>
                <w:rFonts w:ascii="Verdana" w:hAnsi="Verdana" w:cs="Arial"/>
                <w:bCs/>
                <w:lang w:val="es-CO"/>
              </w:rPr>
              <w:t>4.0</w:t>
            </w:r>
          </w:p>
        </w:tc>
        <w:tc>
          <w:tcPr>
            <w:tcW w:w="1559" w:type="dxa"/>
            <w:vAlign w:val="center"/>
          </w:tcPr>
          <w:p w14:paraId="572C25BF" w14:textId="42EBE09C" w:rsidR="00B863F1" w:rsidRPr="0088178C" w:rsidRDefault="0088178C" w:rsidP="00973D75">
            <w:pPr>
              <w:pStyle w:val="TableParagraph"/>
              <w:spacing w:after="0" w:line="240" w:lineRule="auto"/>
              <w:jc w:val="center"/>
              <w:rPr>
                <w:rFonts w:ascii="Verdana" w:hAnsi="Verdana" w:cs="Arial"/>
                <w:bCs/>
                <w:lang w:val="es-CO"/>
              </w:rPr>
            </w:pPr>
            <w:r w:rsidRPr="0088178C">
              <w:rPr>
                <w:rFonts w:ascii="Verdana" w:hAnsi="Verdana" w:cs="Arial"/>
                <w:bCs/>
                <w:lang w:val="es-CO"/>
              </w:rPr>
              <w:t>1</w:t>
            </w:r>
            <w:r w:rsidR="00D745B6">
              <w:rPr>
                <w:rFonts w:ascii="Verdana" w:hAnsi="Verdana" w:cs="Arial"/>
                <w:bCs/>
                <w:lang w:val="es-CO"/>
              </w:rPr>
              <w:t>8</w:t>
            </w:r>
            <w:r w:rsidR="00B863F1" w:rsidRPr="0088178C">
              <w:rPr>
                <w:rFonts w:ascii="Verdana" w:hAnsi="Verdana" w:cs="Arial"/>
                <w:bCs/>
                <w:lang w:val="es-CO"/>
              </w:rPr>
              <w:t>/09/2025</w:t>
            </w:r>
          </w:p>
        </w:tc>
        <w:tc>
          <w:tcPr>
            <w:tcW w:w="4684" w:type="dxa"/>
            <w:vAlign w:val="center"/>
          </w:tcPr>
          <w:p w14:paraId="53B10280" w14:textId="0DA57621" w:rsidR="00B863F1" w:rsidRPr="0088178C" w:rsidRDefault="00B863F1" w:rsidP="00DC0FBB">
            <w:pPr>
              <w:ind w:right="139"/>
              <w:rPr>
                <w:rFonts w:ascii="Verdana" w:hAnsi="Verdana"/>
                <w:sz w:val="20"/>
                <w:lang w:val="es-CO"/>
              </w:rPr>
            </w:pPr>
            <w:r w:rsidRPr="0088178C">
              <w:rPr>
                <w:rFonts w:ascii="Verdana" w:hAnsi="Verdana"/>
                <w:sz w:val="20"/>
                <w:lang w:val="es-CO"/>
              </w:rPr>
              <w:t xml:space="preserve">Se </w:t>
            </w:r>
            <w:r w:rsidRPr="0088178C">
              <w:rPr>
                <w:rFonts w:ascii="Verdana" w:eastAsia="Times New Roman" w:hAnsi="Verdana" w:cs="Times New Roman"/>
                <w:sz w:val="20"/>
                <w:lang w:val="es-CO"/>
              </w:rPr>
              <w:t xml:space="preserve">actualiza </w:t>
            </w:r>
            <w:r w:rsidR="0088178C">
              <w:rPr>
                <w:rFonts w:ascii="Verdana" w:eastAsia="Times New Roman" w:hAnsi="Verdana" w:cs="Times New Roman"/>
                <w:sz w:val="20"/>
                <w:lang w:val="es-CO"/>
              </w:rPr>
              <w:t xml:space="preserve">a la nueva </w:t>
            </w:r>
            <w:r w:rsidRPr="0088178C">
              <w:rPr>
                <w:rFonts w:ascii="Verdana" w:eastAsia="Times New Roman" w:hAnsi="Verdana" w:cs="Times New Roman"/>
                <w:sz w:val="20"/>
                <w:lang w:val="es-CO"/>
              </w:rPr>
              <w:t>imagen institucional</w:t>
            </w:r>
          </w:p>
        </w:tc>
        <w:tc>
          <w:tcPr>
            <w:tcW w:w="2693" w:type="dxa"/>
            <w:vAlign w:val="center"/>
          </w:tcPr>
          <w:p w14:paraId="48B9DAD7" w14:textId="1F5997E2" w:rsidR="00B863F1" w:rsidRPr="0088178C" w:rsidRDefault="00B863F1" w:rsidP="00DC0FBB">
            <w:pPr>
              <w:jc w:val="center"/>
              <w:rPr>
                <w:rFonts w:ascii="Verdana" w:hAnsi="Verdana" w:cs="Arial"/>
                <w:sz w:val="20"/>
              </w:rPr>
            </w:pPr>
            <w:r w:rsidRPr="0088178C">
              <w:rPr>
                <w:rFonts w:ascii="Verdana" w:hAnsi="Verdana" w:cs="Arial"/>
                <w:sz w:val="20"/>
                <w:lang w:val="es-CO"/>
              </w:rPr>
              <w:t>Coordinador del GTSP</w:t>
            </w:r>
          </w:p>
        </w:tc>
      </w:tr>
    </w:tbl>
    <w:p w14:paraId="6C561676" w14:textId="77777777" w:rsidR="00DC0FBB" w:rsidRPr="00F10EFE" w:rsidRDefault="00DC0FBB" w:rsidP="00DC0FBB">
      <w:pPr>
        <w:jc w:val="center"/>
        <w:rPr>
          <w:rFonts w:ascii="Verdana" w:hAnsi="Verdana" w:cs="Arial"/>
          <w:bCs/>
          <w:sz w:val="22"/>
          <w:szCs w:val="22"/>
        </w:rPr>
      </w:pPr>
    </w:p>
    <w:p w14:paraId="77FFA40B" w14:textId="45BE2F62" w:rsidR="00145387" w:rsidRPr="00F10EFE" w:rsidRDefault="00145387" w:rsidP="00973D75">
      <w:pPr>
        <w:jc w:val="left"/>
        <w:rPr>
          <w:rFonts w:ascii="Verdana" w:hAnsi="Verdana" w:cs="Arial"/>
          <w:sz w:val="22"/>
          <w:szCs w:val="22"/>
        </w:rPr>
      </w:pPr>
    </w:p>
    <w:sectPr w:rsidR="00145387" w:rsidRPr="00F10EFE" w:rsidSect="00F10EFE">
      <w:headerReference w:type="default" r:id="rId17"/>
      <w:footerReference w:type="even" r:id="rId18"/>
      <w:footerReference w:type="default" r:id="rId19"/>
      <w:footerReference w:type="first" r:id="rId20"/>
      <w:pgSz w:w="12242" w:h="15842" w:code="1"/>
      <w:pgMar w:top="1701" w:right="1418" w:bottom="1701"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0585B" w14:textId="77777777" w:rsidR="00AC2649" w:rsidRDefault="00AC2649">
      <w:r>
        <w:separator/>
      </w:r>
    </w:p>
  </w:endnote>
  <w:endnote w:type="continuationSeparator" w:id="0">
    <w:p w14:paraId="5396D5C7" w14:textId="77777777" w:rsidR="00AC2649" w:rsidRDefault="00AC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ooper Lt BT">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1F19F" w14:textId="77777777" w:rsidR="00464139" w:rsidRDefault="00464139" w:rsidP="00DA6CE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40F4312" w14:textId="77777777" w:rsidR="00464139" w:rsidRDefault="00464139" w:rsidP="00007400">
    <w:pPr>
      <w:pStyle w:val="Piedepgina"/>
      <w:ind w:right="360"/>
    </w:pPr>
  </w:p>
  <w:p w14:paraId="427490FE" w14:textId="77777777" w:rsidR="00E671C2" w:rsidRDefault="00E671C2"/>
  <w:p w14:paraId="0F3AC53D" w14:textId="77777777" w:rsidR="00E671C2" w:rsidRDefault="00E671C2"/>
  <w:p w14:paraId="1727CE5D" w14:textId="77777777" w:rsidR="00E671C2" w:rsidRDefault="00E671C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919543"/>
      <w:docPartObj>
        <w:docPartGallery w:val="Page Numbers (Bottom of Page)"/>
        <w:docPartUnique/>
      </w:docPartObj>
    </w:sdtPr>
    <w:sdtContent>
      <w:sdt>
        <w:sdtPr>
          <w:id w:val="-1769616900"/>
          <w:docPartObj>
            <w:docPartGallery w:val="Page Numbers (Top of Page)"/>
            <w:docPartUnique/>
          </w:docPartObj>
        </w:sdtPr>
        <w:sdtContent>
          <w:sdt>
            <w:sdtPr>
              <w:id w:val="1082414722"/>
              <w:docPartObj>
                <w:docPartGallery w:val="Page Numbers (Top of Page)"/>
                <w:docPartUnique/>
              </w:docPartObj>
            </w:sdtPr>
            <w:sdtContent>
              <w:p w14:paraId="6051D543" w14:textId="77777777" w:rsidR="00567F27" w:rsidRPr="00AC009F" w:rsidRDefault="00567F27" w:rsidP="00567F27">
                <w:pPr>
                  <w:pStyle w:val="Piedepgina"/>
                  <w:jc w:val="right"/>
                  <w:rPr>
                    <w:rFonts w:ascii="Verdana" w:hAnsi="Verdana"/>
                    <w:sz w:val="16"/>
                    <w:szCs w:val="16"/>
                  </w:rPr>
                </w:pPr>
                <w:r w:rsidRPr="00AC009F">
                  <w:rPr>
                    <w:rFonts w:ascii="Verdana" w:hAnsi="Verdana"/>
                    <w:sz w:val="16"/>
                    <w:szCs w:val="16"/>
                    <w:lang w:val="es-ES"/>
                  </w:rPr>
                  <w:t xml:space="preserve">Página </w:t>
                </w:r>
                <w:r w:rsidRPr="00AC009F">
                  <w:rPr>
                    <w:rFonts w:ascii="Verdana" w:hAnsi="Verdana"/>
                    <w:sz w:val="16"/>
                    <w:szCs w:val="16"/>
                  </w:rPr>
                  <w:fldChar w:fldCharType="begin"/>
                </w:r>
                <w:r w:rsidRPr="00AC009F">
                  <w:rPr>
                    <w:rFonts w:ascii="Verdana" w:hAnsi="Verdana"/>
                    <w:sz w:val="16"/>
                    <w:szCs w:val="16"/>
                  </w:rPr>
                  <w:instrText>PAGE</w:instrText>
                </w:r>
                <w:r w:rsidRPr="00AC009F">
                  <w:rPr>
                    <w:rFonts w:ascii="Verdana" w:hAnsi="Verdana"/>
                    <w:sz w:val="16"/>
                    <w:szCs w:val="16"/>
                  </w:rPr>
                  <w:fldChar w:fldCharType="separate"/>
                </w:r>
                <w:r>
                  <w:rPr>
                    <w:rFonts w:ascii="Verdana" w:hAnsi="Verdana"/>
                    <w:sz w:val="16"/>
                    <w:szCs w:val="16"/>
                  </w:rPr>
                  <w:t>1</w:t>
                </w:r>
                <w:r w:rsidRPr="00AC009F">
                  <w:rPr>
                    <w:rFonts w:ascii="Verdana" w:hAnsi="Verdana"/>
                    <w:sz w:val="16"/>
                    <w:szCs w:val="16"/>
                  </w:rPr>
                  <w:fldChar w:fldCharType="end"/>
                </w:r>
                <w:r w:rsidRPr="00AC009F">
                  <w:rPr>
                    <w:rFonts w:ascii="Verdana" w:hAnsi="Verdana"/>
                    <w:sz w:val="16"/>
                    <w:szCs w:val="16"/>
                    <w:lang w:val="es-ES"/>
                  </w:rPr>
                  <w:t xml:space="preserve"> de </w:t>
                </w:r>
                <w:r w:rsidRPr="00AC009F">
                  <w:rPr>
                    <w:rFonts w:ascii="Verdana" w:hAnsi="Verdana"/>
                    <w:sz w:val="16"/>
                    <w:szCs w:val="16"/>
                  </w:rPr>
                  <w:fldChar w:fldCharType="begin"/>
                </w:r>
                <w:r w:rsidRPr="00AC009F">
                  <w:rPr>
                    <w:rFonts w:ascii="Verdana" w:hAnsi="Verdana"/>
                    <w:sz w:val="16"/>
                    <w:szCs w:val="16"/>
                  </w:rPr>
                  <w:instrText>NUMPAGES</w:instrText>
                </w:r>
                <w:r w:rsidRPr="00AC009F">
                  <w:rPr>
                    <w:rFonts w:ascii="Verdana" w:hAnsi="Verdana"/>
                    <w:sz w:val="16"/>
                    <w:szCs w:val="16"/>
                  </w:rPr>
                  <w:fldChar w:fldCharType="separate"/>
                </w:r>
                <w:r>
                  <w:rPr>
                    <w:rFonts w:ascii="Verdana" w:hAnsi="Verdana"/>
                    <w:sz w:val="16"/>
                    <w:szCs w:val="16"/>
                  </w:rPr>
                  <w:t>33</w:t>
                </w:r>
                <w:r w:rsidRPr="00AC009F">
                  <w:rPr>
                    <w:rFonts w:ascii="Verdana" w:hAnsi="Verdana"/>
                    <w:sz w:val="16"/>
                    <w:szCs w:val="16"/>
                  </w:rPr>
                  <w:fldChar w:fldCharType="end"/>
                </w:r>
              </w:p>
              <w:sdt>
                <w:sdtPr>
                  <w:rPr>
                    <w:rFonts w:ascii="Verdana" w:hAnsi="Verdana" w:cs="Arial"/>
                    <w:sz w:val="16"/>
                    <w:szCs w:val="16"/>
                  </w:rPr>
                  <w:id w:val="87282020"/>
                  <w:docPartObj>
                    <w:docPartGallery w:val="Page Numbers (Top of Page)"/>
                    <w:docPartUnique/>
                  </w:docPartObj>
                </w:sdtPr>
                <w:sdtContent>
                  <w:p w14:paraId="3E6F530B" w14:textId="1EC4B8BE" w:rsidR="00567F27" w:rsidRPr="00AC009F" w:rsidRDefault="00567F27" w:rsidP="00567F27">
                    <w:pPr>
                      <w:pStyle w:val="Piedepgina"/>
                      <w:jc w:val="right"/>
                      <w:rPr>
                        <w:rFonts w:ascii="Verdana" w:hAnsi="Verdana" w:cs="Arial"/>
                        <w:sz w:val="16"/>
                        <w:szCs w:val="16"/>
                        <w:lang w:val="es-ES"/>
                      </w:rPr>
                    </w:pPr>
                    <w:r w:rsidRPr="00AC009F">
                      <w:rPr>
                        <w:rFonts w:ascii="Verdana" w:hAnsi="Verdana" w:cs="Arial"/>
                        <w:sz w:val="16"/>
                        <w:szCs w:val="16"/>
                        <w:lang w:val="es-ES"/>
                      </w:rPr>
                      <w:t xml:space="preserve">Versión: </w:t>
                    </w:r>
                    <w:r w:rsidR="00DB4B91">
                      <w:rPr>
                        <w:rFonts w:ascii="Verdana" w:hAnsi="Verdana" w:cs="Arial"/>
                        <w:sz w:val="16"/>
                        <w:szCs w:val="16"/>
                        <w:lang w:val="es-ES"/>
                      </w:rPr>
                      <w:t>9</w:t>
                    </w:r>
                  </w:p>
                  <w:p w14:paraId="4FD18F75" w14:textId="151D53C9" w:rsidR="00567F27" w:rsidRPr="00AC009F" w:rsidRDefault="00567F27" w:rsidP="00567F27">
                    <w:pPr>
                      <w:pStyle w:val="Piedepgina"/>
                      <w:jc w:val="right"/>
                      <w:rPr>
                        <w:rFonts w:ascii="Verdana" w:hAnsi="Verdana" w:cs="Arial"/>
                        <w:sz w:val="16"/>
                        <w:szCs w:val="16"/>
                        <w:lang w:val="es-ES"/>
                      </w:rPr>
                    </w:pPr>
                    <w:r w:rsidRPr="00AC009F">
                      <w:rPr>
                        <w:rFonts w:ascii="Verdana" w:hAnsi="Verdana" w:cs="Arial"/>
                        <w:sz w:val="16"/>
                        <w:szCs w:val="16"/>
                        <w:lang w:val="es-ES"/>
                      </w:rPr>
                      <w:t xml:space="preserve">Fecha: </w:t>
                    </w:r>
                    <w:r>
                      <w:rPr>
                        <w:rFonts w:ascii="Verdana" w:hAnsi="Verdana" w:cs="Arial"/>
                        <w:sz w:val="16"/>
                        <w:szCs w:val="16"/>
                        <w:lang w:val="es-ES"/>
                      </w:rPr>
                      <w:t>2</w:t>
                    </w:r>
                    <w:r w:rsidR="00DB4B91">
                      <w:rPr>
                        <w:rFonts w:ascii="Verdana" w:hAnsi="Verdana" w:cs="Arial"/>
                        <w:sz w:val="16"/>
                        <w:szCs w:val="16"/>
                        <w:lang w:val="es-ES"/>
                      </w:rPr>
                      <w:t>5</w:t>
                    </w:r>
                    <w:r w:rsidRPr="00AC009F">
                      <w:rPr>
                        <w:rFonts w:ascii="Verdana" w:hAnsi="Verdana" w:cs="Arial"/>
                        <w:sz w:val="16"/>
                        <w:szCs w:val="16"/>
                        <w:lang w:val="es-ES"/>
                      </w:rPr>
                      <w:t>/0</w:t>
                    </w:r>
                    <w:r w:rsidR="00DB4B91">
                      <w:rPr>
                        <w:rFonts w:ascii="Verdana" w:hAnsi="Verdana" w:cs="Arial"/>
                        <w:sz w:val="16"/>
                        <w:szCs w:val="16"/>
                        <w:lang w:val="es-ES"/>
                      </w:rPr>
                      <w:t>3</w:t>
                    </w:r>
                    <w:r w:rsidRPr="00AC009F">
                      <w:rPr>
                        <w:rFonts w:ascii="Verdana" w:hAnsi="Verdana" w:cs="Arial"/>
                        <w:sz w:val="16"/>
                        <w:szCs w:val="16"/>
                        <w:lang w:val="es-ES"/>
                      </w:rPr>
                      <w:t>/202</w:t>
                    </w:r>
                    <w:r w:rsidR="00DB4B91">
                      <w:rPr>
                        <w:rFonts w:ascii="Verdana" w:hAnsi="Verdana" w:cs="Arial"/>
                        <w:sz w:val="16"/>
                        <w:szCs w:val="16"/>
                        <w:lang w:val="es-ES"/>
                      </w:rPr>
                      <w:t>5</w:t>
                    </w:r>
                  </w:p>
                  <w:p w14:paraId="1B4D6A66" w14:textId="273505EB" w:rsidR="00E671C2" w:rsidRPr="00567F27" w:rsidRDefault="00567F27" w:rsidP="00567F27">
                    <w:pPr>
                      <w:pStyle w:val="Piedepgina"/>
                      <w:jc w:val="right"/>
                    </w:pPr>
                    <w:r w:rsidRPr="00AC009F">
                      <w:rPr>
                        <w:rFonts w:ascii="Verdana" w:hAnsi="Verdana" w:cs="Arial"/>
                        <w:sz w:val="16"/>
                        <w:szCs w:val="16"/>
                        <w:lang w:val="es-ES"/>
                      </w:rPr>
                      <w:t>Código: DET-PL-0</w:t>
                    </w:r>
                    <w:r>
                      <w:rPr>
                        <w:rFonts w:ascii="Verdana" w:hAnsi="Verdana" w:cs="Arial"/>
                        <w:sz w:val="16"/>
                        <w:szCs w:val="16"/>
                        <w:lang w:val="es-ES"/>
                      </w:rPr>
                      <w:t>5</w:t>
                    </w:r>
                  </w:p>
                </w:sdtContent>
              </w:sdt>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DD601" w14:textId="77777777" w:rsidR="00464139" w:rsidRPr="003F57B0" w:rsidRDefault="00464139">
    <w:pPr>
      <w:pStyle w:val="Piedepgina"/>
      <w:jc w:val="right"/>
      <w:rPr>
        <w:sz w:val="16"/>
        <w:szCs w:val="16"/>
      </w:rPr>
    </w:pPr>
    <w:r w:rsidRPr="003F57B0">
      <w:rPr>
        <w:sz w:val="16"/>
        <w:szCs w:val="16"/>
        <w:lang w:val="es-ES"/>
      </w:rPr>
      <w:t xml:space="preserve">Página </w:t>
    </w:r>
    <w:r w:rsidRPr="003F57B0">
      <w:rPr>
        <w:b/>
        <w:bCs/>
        <w:sz w:val="16"/>
        <w:szCs w:val="16"/>
      </w:rPr>
      <w:fldChar w:fldCharType="begin"/>
    </w:r>
    <w:r w:rsidRPr="003F57B0">
      <w:rPr>
        <w:b/>
        <w:bCs/>
        <w:sz w:val="16"/>
        <w:szCs w:val="16"/>
      </w:rPr>
      <w:instrText>PAGE</w:instrText>
    </w:r>
    <w:r w:rsidRPr="003F57B0">
      <w:rPr>
        <w:b/>
        <w:bCs/>
        <w:sz w:val="16"/>
        <w:szCs w:val="16"/>
      </w:rPr>
      <w:fldChar w:fldCharType="separate"/>
    </w:r>
    <w:r>
      <w:rPr>
        <w:b/>
        <w:bCs/>
        <w:noProof/>
        <w:sz w:val="16"/>
        <w:szCs w:val="16"/>
      </w:rPr>
      <w:t>17</w:t>
    </w:r>
    <w:r w:rsidRPr="003F57B0">
      <w:rPr>
        <w:b/>
        <w:bCs/>
        <w:sz w:val="16"/>
        <w:szCs w:val="16"/>
      </w:rPr>
      <w:fldChar w:fldCharType="end"/>
    </w:r>
    <w:r w:rsidRPr="003F57B0">
      <w:rPr>
        <w:sz w:val="16"/>
        <w:szCs w:val="16"/>
        <w:lang w:val="es-ES"/>
      </w:rPr>
      <w:t xml:space="preserve"> de </w:t>
    </w:r>
    <w:r w:rsidRPr="003F57B0">
      <w:rPr>
        <w:b/>
        <w:bCs/>
        <w:sz w:val="16"/>
        <w:szCs w:val="16"/>
      </w:rPr>
      <w:fldChar w:fldCharType="begin"/>
    </w:r>
    <w:r w:rsidRPr="003F57B0">
      <w:rPr>
        <w:b/>
        <w:bCs/>
        <w:sz w:val="16"/>
        <w:szCs w:val="16"/>
      </w:rPr>
      <w:instrText>NUMPAGES</w:instrText>
    </w:r>
    <w:r w:rsidRPr="003F57B0">
      <w:rPr>
        <w:b/>
        <w:bCs/>
        <w:sz w:val="16"/>
        <w:szCs w:val="16"/>
      </w:rPr>
      <w:fldChar w:fldCharType="separate"/>
    </w:r>
    <w:r>
      <w:rPr>
        <w:b/>
        <w:bCs/>
        <w:noProof/>
        <w:sz w:val="16"/>
        <w:szCs w:val="16"/>
      </w:rPr>
      <w:t>22</w:t>
    </w:r>
    <w:r w:rsidRPr="003F57B0">
      <w:rPr>
        <w:b/>
        <w:bCs/>
        <w:sz w:val="16"/>
        <w:szCs w:val="16"/>
      </w:rPr>
      <w:fldChar w:fldCharType="end"/>
    </w:r>
  </w:p>
  <w:p w14:paraId="6F17B2BC" w14:textId="77777777" w:rsidR="00464139" w:rsidRPr="00414471" w:rsidRDefault="00464139" w:rsidP="00414471">
    <w:pPr>
      <w:pStyle w:val="Piedepgina"/>
      <w:rPr>
        <w:lang w:val="es-ES_tradnl"/>
      </w:rPr>
    </w:pPr>
  </w:p>
  <w:p w14:paraId="33797A82" w14:textId="77777777" w:rsidR="00E671C2" w:rsidRDefault="00E671C2"/>
  <w:p w14:paraId="544BB0E0" w14:textId="77777777" w:rsidR="00E671C2" w:rsidRDefault="00E671C2"/>
  <w:p w14:paraId="2C6BD874" w14:textId="77777777" w:rsidR="00E671C2" w:rsidRDefault="00E671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F23F" w14:textId="77777777" w:rsidR="00AC2649" w:rsidRDefault="00AC2649">
      <w:r>
        <w:separator/>
      </w:r>
    </w:p>
  </w:footnote>
  <w:footnote w:type="continuationSeparator" w:id="0">
    <w:p w14:paraId="782A46AF" w14:textId="77777777" w:rsidR="00AC2649" w:rsidRDefault="00AC2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480A1" w14:textId="17EF4F54" w:rsidR="00B863F1" w:rsidRDefault="00B863F1" w:rsidP="00825CFD">
    <w:pPr>
      <w:pStyle w:val="Encabezado"/>
      <w:rPr>
        <w:rFonts w:ascii="Verdana" w:hAnsi="Verdana"/>
        <w:i/>
        <w:sz w:val="20"/>
      </w:rPr>
    </w:pPr>
    <w:r>
      <w:rPr>
        <w:noProof/>
      </w:rPr>
      <w:drawing>
        <wp:anchor distT="0" distB="0" distL="114300" distR="114300" simplePos="0" relativeHeight="251659264" behindDoc="0" locked="0" layoutInCell="1" allowOverlap="1" wp14:anchorId="3F4D1BAB" wp14:editId="2A4EF9EE">
          <wp:simplePos x="0" y="0"/>
          <wp:positionH relativeFrom="column">
            <wp:posOffset>2085975</wp:posOffset>
          </wp:positionH>
          <wp:positionV relativeFrom="paragraph">
            <wp:posOffset>-282738</wp:posOffset>
          </wp:positionV>
          <wp:extent cx="1702336" cy="634896"/>
          <wp:effectExtent l="0" t="0" r="0" b="635"/>
          <wp:wrapNone/>
          <wp:docPr id="463089868" name="0 Imagen" descr="Imagen que contiene competencia de atletismo,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336" cy="634896"/>
                  </a:xfrm>
                  <a:prstGeom prst="rect">
                    <a:avLst/>
                  </a:prstGeom>
                </pic:spPr>
              </pic:pic>
            </a:graphicData>
          </a:graphic>
        </wp:anchor>
      </w:drawing>
    </w:r>
  </w:p>
  <w:p w14:paraId="31F37258" w14:textId="0B7632FE" w:rsidR="0075765F" w:rsidRDefault="0075765F" w:rsidP="00825CFD">
    <w:pPr>
      <w:pStyle w:val="Encabezado"/>
      <w:rPr>
        <w:rFonts w:ascii="Verdana" w:hAnsi="Verdana"/>
        <w:i/>
        <w:sz w:val="20"/>
      </w:rPr>
    </w:pPr>
  </w:p>
  <w:p w14:paraId="2F741756" w14:textId="77777777" w:rsidR="001159BA" w:rsidRDefault="001159BA" w:rsidP="008A3516">
    <w:pPr>
      <w:pStyle w:val="Encabezado"/>
      <w:rPr>
        <w:rFonts w:ascii="Verdana" w:hAnsi="Verdana" w:cs="Arial"/>
        <w:b/>
        <w:i/>
        <w:sz w:val="20"/>
      </w:rPr>
    </w:pPr>
  </w:p>
  <w:tbl>
    <w:tblPr>
      <w:tblpPr w:leftFromText="141" w:rightFromText="141" w:vertAnchor="text" w:horzAnchor="margin" w:tblpY="-3"/>
      <w:tblW w:w="5143" w:type="pct"/>
      <w:tblBorders>
        <w:top w:val="single" w:sz="4" w:space="0" w:color="auto"/>
      </w:tblBorders>
      <w:tblCellMar>
        <w:left w:w="70" w:type="dxa"/>
        <w:right w:w="70" w:type="dxa"/>
      </w:tblCellMar>
      <w:tblLook w:val="01E0" w:firstRow="1" w:lastRow="1" w:firstColumn="1" w:lastColumn="1" w:noHBand="0" w:noVBand="0"/>
    </w:tblPr>
    <w:tblGrid>
      <w:gridCol w:w="9675"/>
    </w:tblGrid>
    <w:tr w:rsidR="001159BA" w:rsidRPr="00CC7ADC" w14:paraId="2E44CE26" w14:textId="77777777" w:rsidTr="0077467B">
      <w:trPr>
        <w:cantSplit/>
        <w:trHeight w:val="243"/>
        <w:tblHeader/>
      </w:trPr>
      <w:tc>
        <w:tcPr>
          <w:tcW w:w="5000" w:type="pct"/>
          <w:vMerge w:val="restart"/>
        </w:tcPr>
        <w:p w14:paraId="527BC0CB" w14:textId="11131299" w:rsidR="00145387" w:rsidRPr="00145387" w:rsidRDefault="00145387" w:rsidP="00145387">
          <w:pPr>
            <w:pStyle w:val="Encabezado"/>
            <w:jc w:val="center"/>
            <w:rPr>
              <w:rFonts w:ascii="Verdana" w:hAnsi="Verdana" w:cs="Arial"/>
              <w:bCs/>
              <w:sz w:val="20"/>
            </w:rPr>
          </w:pPr>
          <w:r w:rsidRPr="00145387">
            <w:rPr>
              <w:rFonts w:ascii="Verdana" w:hAnsi="Verdana" w:cs="Arial"/>
              <w:bCs/>
              <w:sz w:val="20"/>
            </w:rPr>
            <w:t>INSTRUCTIVO: ESTUDIO DE VIABILIDAD TECNICA</w:t>
          </w:r>
        </w:p>
        <w:p w14:paraId="70A00C1A" w14:textId="3EAEDAB3" w:rsidR="00145387" w:rsidRPr="00145387" w:rsidRDefault="00145387" w:rsidP="00145387">
          <w:pPr>
            <w:pStyle w:val="Encabezado"/>
            <w:jc w:val="center"/>
            <w:rPr>
              <w:rFonts w:ascii="Verdana" w:hAnsi="Verdana" w:cs="Arial"/>
              <w:bCs/>
              <w:sz w:val="20"/>
            </w:rPr>
          </w:pPr>
          <w:r w:rsidRPr="00145387">
            <w:rPr>
              <w:rFonts w:ascii="Verdana" w:hAnsi="Verdana" w:cs="Arial"/>
              <w:bCs/>
              <w:sz w:val="20"/>
            </w:rPr>
            <w:t>ARTICULO 2 DE LA LEY 1</w:t>
          </w:r>
          <w:r w:rsidR="00B35A8C">
            <w:rPr>
              <w:rFonts w:ascii="Verdana" w:hAnsi="Verdana" w:cs="Arial"/>
              <w:bCs/>
              <w:sz w:val="20"/>
            </w:rPr>
            <w:t>001</w:t>
          </w:r>
          <w:r w:rsidRPr="00145387">
            <w:rPr>
              <w:rFonts w:ascii="Verdana" w:hAnsi="Verdana" w:cs="Arial"/>
              <w:bCs/>
              <w:sz w:val="20"/>
            </w:rPr>
            <w:t xml:space="preserve"> DE 20</w:t>
          </w:r>
          <w:r w:rsidR="00B35A8C">
            <w:rPr>
              <w:rFonts w:ascii="Verdana" w:hAnsi="Verdana" w:cs="Arial"/>
              <w:bCs/>
              <w:sz w:val="20"/>
            </w:rPr>
            <w:t>05</w:t>
          </w:r>
        </w:p>
        <w:p w14:paraId="46FD31EA" w14:textId="77777777" w:rsidR="00145387" w:rsidRPr="00F10EFE" w:rsidRDefault="00145387" w:rsidP="00145387">
          <w:pPr>
            <w:pStyle w:val="Encabezado"/>
            <w:jc w:val="center"/>
            <w:rPr>
              <w:rFonts w:ascii="Verdana" w:hAnsi="Verdana" w:cs="Arial"/>
              <w:bCs/>
              <w:sz w:val="20"/>
            </w:rPr>
          </w:pPr>
          <w:r w:rsidRPr="00145387">
            <w:rPr>
              <w:rFonts w:ascii="Verdana" w:hAnsi="Verdana" w:cs="Arial"/>
              <w:bCs/>
              <w:sz w:val="20"/>
            </w:rPr>
            <w:t xml:space="preserve">PROCESO: </w:t>
          </w:r>
          <w:r w:rsidRPr="00F10EFE">
            <w:rPr>
              <w:rFonts w:ascii="Verdana" w:hAnsi="Verdana" w:cs="Arial"/>
              <w:bCs/>
              <w:sz w:val="20"/>
            </w:rPr>
            <w:t>GESTIÓN A LA POLÍTICA DE VIVIENDA</w:t>
          </w:r>
        </w:p>
        <w:p w14:paraId="43EB2059" w14:textId="2E668729" w:rsidR="001159BA" w:rsidRPr="0096404F" w:rsidRDefault="00145387" w:rsidP="0075765F">
          <w:pPr>
            <w:pStyle w:val="Encabezado"/>
            <w:jc w:val="center"/>
            <w:rPr>
              <w:rFonts w:ascii="Verdana" w:hAnsi="Verdana"/>
              <w:bCs/>
              <w:sz w:val="20"/>
            </w:rPr>
          </w:pPr>
          <w:r w:rsidRPr="00DB4B91">
            <w:rPr>
              <w:rFonts w:ascii="Verdana" w:hAnsi="Verdana" w:cs="Arial"/>
              <w:bCs/>
              <w:sz w:val="20"/>
            </w:rPr>
            <w:t xml:space="preserve">Versión: </w:t>
          </w:r>
          <w:r w:rsidR="00B863F1" w:rsidRPr="00DB4B91">
            <w:rPr>
              <w:rFonts w:ascii="Verdana" w:hAnsi="Verdana" w:cs="Arial"/>
              <w:bCs/>
              <w:sz w:val="20"/>
            </w:rPr>
            <w:t>4</w:t>
          </w:r>
          <w:r w:rsidR="00F10EFE" w:rsidRPr="00DB4B91">
            <w:rPr>
              <w:rFonts w:ascii="Verdana" w:hAnsi="Verdana" w:cs="Arial"/>
              <w:bCs/>
              <w:sz w:val="20"/>
            </w:rPr>
            <w:t>.0</w:t>
          </w:r>
          <w:r w:rsidRPr="00DB4B91">
            <w:rPr>
              <w:rFonts w:ascii="Verdana" w:hAnsi="Verdana" w:cs="Arial"/>
              <w:bCs/>
              <w:sz w:val="20"/>
            </w:rPr>
            <w:t xml:space="preserve"> Fecha: </w:t>
          </w:r>
          <w:r w:rsidR="00DB4B91" w:rsidRPr="00DB4B91">
            <w:rPr>
              <w:rFonts w:ascii="Verdana" w:hAnsi="Verdana" w:cs="Arial"/>
              <w:bCs/>
              <w:sz w:val="20"/>
            </w:rPr>
            <w:t>1</w:t>
          </w:r>
          <w:r w:rsidR="00D745B6">
            <w:rPr>
              <w:rFonts w:ascii="Verdana" w:hAnsi="Verdana" w:cs="Arial"/>
              <w:bCs/>
              <w:sz w:val="20"/>
            </w:rPr>
            <w:t>8</w:t>
          </w:r>
          <w:r w:rsidRPr="00DB4B91">
            <w:rPr>
              <w:rFonts w:ascii="Verdana" w:hAnsi="Verdana" w:cs="Arial"/>
              <w:bCs/>
              <w:sz w:val="20"/>
            </w:rPr>
            <w:t>/</w:t>
          </w:r>
          <w:r w:rsidR="00B863F1" w:rsidRPr="00DB4B91">
            <w:rPr>
              <w:rFonts w:ascii="Verdana" w:hAnsi="Verdana" w:cs="Arial"/>
              <w:bCs/>
              <w:sz w:val="20"/>
            </w:rPr>
            <w:t>09</w:t>
          </w:r>
          <w:r w:rsidRPr="00DB4B91">
            <w:rPr>
              <w:rFonts w:ascii="Verdana" w:hAnsi="Verdana" w:cs="Arial"/>
              <w:bCs/>
              <w:sz w:val="20"/>
            </w:rPr>
            <w:t>/202</w:t>
          </w:r>
          <w:r w:rsidR="00B863F1" w:rsidRPr="00DB4B91">
            <w:rPr>
              <w:rFonts w:ascii="Verdana" w:hAnsi="Verdana" w:cs="Arial"/>
              <w:bCs/>
              <w:sz w:val="20"/>
            </w:rPr>
            <w:t>5</w:t>
          </w:r>
          <w:r w:rsidRPr="00DB4B91">
            <w:rPr>
              <w:rFonts w:ascii="Verdana" w:hAnsi="Verdana" w:cs="Arial"/>
              <w:bCs/>
              <w:sz w:val="20"/>
            </w:rPr>
            <w:t xml:space="preserve"> Código: GPV-I-</w:t>
          </w:r>
          <w:r w:rsidR="00B35A8C" w:rsidRPr="00DB4B91">
            <w:rPr>
              <w:rFonts w:ascii="Verdana" w:hAnsi="Verdana" w:cs="Arial"/>
              <w:bCs/>
              <w:sz w:val="20"/>
            </w:rPr>
            <w:t>05</w:t>
          </w:r>
        </w:p>
      </w:tc>
    </w:tr>
    <w:tr w:rsidR="001159BA" w:rsidRPr="00CC7ADC" w14:paraId="02F35060" w14:textId="77777777" w:rsidTr="0077467B">
      <w:trPr>
        <w:cantSplit/>
        <w:trHeight w:val="292"/>
        <w:tblHeader/>
      </w:trPr>
      <w:tc>
        <w:tcPr>
          <w:tcW w:w="5000" w:type="pct"/>
          <w:vMerge/>
          <w:vAlign w:val="center"/>
        </w:tcPr>
        <w:p w14:paraId="20A55D26" w14:textId="77777777" w:rsidR="001159BA" w:rsidRPr="00BD7B5A" w:rsidRDefault="001159BA" w:rsidP="001159BA">
          <w:pPr>
            <w:pStyle w:val="Encabezado"/>
            <w:jc w:val="center"/>
            <w:rPr>
              <w:rFonts w:ascii="Verdana" w:hAnsi="Verdana"/>
              <w:b/>
            </w:rPr>
          </w:pPr>
        </w:p>
      </w:tc>
    </w:tr>
    <w:tr w:rsidR="001159BA" w:rsidRPr="00CC7ADC" w14:paraId="1ECD3FA9" w14:textId="77777777" w:rsidTr="0077467B">
      <w:trPr>
        <w:cantSplit/>
        <w:trHeight w:val="292"/>
        <w:tblHeader/>
      </w:trPr>
      <w:tc>
        <w:tcPr>
          <w:tcW w:w="5000" w:type="pct"/>
          <w:vMerge/>
          <w:vAlign w:val="center"/>
        </w:tcPr>
        <w:p w14:paraId="4B5F36FC" w14:textId="77777777" w:rsidR="001159BA" w:rsidRPr="00BD7B5A" w:rsidRDefault="001159BA" w:rsidP="001159BA">
          <w:pPr>
            <w:pStyle w:val="Encabezado"/>
            <w:jc w:val="center"/>
            <w:rPr>
              <w:rFonts w:ascii="Verdana" w:hAnsi="Verdana"/>
              <w:b/>
            </w:rPr>
          </w:pPr>
        </w:p>
      </w:tc>
    </w:tr>
  </w:tbl>
  <w:p w14:paraId="2AE8D767" w14:textId="77777777" w:rsidR="00E671C2" w:rsidRDefault="00E671C2" w:rsidP="007576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07"/>
    <w:multiLevelType w:val="hybridMultilevel"/>
    <w:tmpl w:val="ED5472E2"/>
    <w:lvl w:ilvl="0" w:tplc="D2083A9C">
      <w:start w:val="1"/>
      <w:numFmt w:val="lowerLetter"/>
      <w:lvlText w:val="%1."/>
      <w:lvlJc w:val="left"/>
      <w:pPr>
        <w:ind w:left="1065" w:hanging="360"/>
      </w:pPr>
      <w:rPr>
        <w:rFonts w:ascii="Century Gothic" w:hAnsi="Century Gothic" w:hint="default"/>
        <w:sz w:val="22"/>
        <w:szCs w:val="22"/>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1" w15:restartNumberingAfterBreak="0">
    <w:nsid w:val="034E77FF"/>
    <w:multiLevelType w:val="hybridMultilevel"/>
    <w:tmpl w:val="AE989D5A"/>
    <w:lvl w:ilvl="0" w:tplc="240A0001">
      <w:start w:val="1"/>
      <w:numFmt w:val="bullet"/>
      <w:lvlText w:val=""/>
      <w:lvlJc w:val="left"/>
      <w:pPr>
        <w:ind w:left="1785" w:hanging="360"/>
      </w:pPr>
      <w:rPr>
        <w:rFonts w:ascii="Symbol" w:hAnsi="Symbol" w:hint="default"/>
      </w:rPr>
    </w:lvl>
    <w:lvl w:ilvl="1" w:tplc="240A0003">
      <w:start w:val="1"/>
      <w:numFmt w:val="bullet"/>
      <w:lvlText w:val="o"/>
      <w:lvlJc w:val="left"/>
      <w:pPr>
        <w:ind w:left="2505" w:hanging="360"/>
      </w:pPr>
      <w:rPr>
        <w:rFonts w:ascii="Courier New" w:hAnsi="Courier New" w:cs="Courier New" w:hint="default"/>
      </w:rPr>
    </w:lvl>
    <w:lvl w:ilvl="2" w:tplc="240A0005">
      <w:start w:val="1"/>
      <w:numFmt w:val="bullet"/>
      <w:lvlText w:val=""/>
      <w:lvlJc w:val="left"/>
      <w:pPr>
        <w:ind w:left="3225" w:hanging="360"/>
      </w:pPr>
      <w:rPr>
        <w:rFonts w:ascii="Wingdings" w:hAnsi="Wingdings" w:hint="default"/>
      </w:rPr>
    </w:lvl>
    <w:lvl w:ilvl="3" w:tplc="240A0001">
      <w:start w:val="1"/>
      <w:numFmt w:val="bullet"/>
      <w:lvlText w:val=""/>
      <w:lvlJc w:val="left"/>
      <w:pPr>
        <w:ind w:left="3945" w:hanging="360"/>
      </w:pPr>
      <w:rPr>
        <w:rFonts w:ascii="Symbol" w:hAnsi="Symbol" w:hint="default"/>
      </w:rPr>
    </w:lvl>
    <w:lvl w:ilvl="4" w:tplc="240A0003">
      <w:start w:val="1"/>
      <w:numFmt w:val="bullet"/>
      <w:lvlText w:val="o"/>
      <w:lvlJc w:val="left"/>
      <w:pPr>
        <w:ind w:left="4665" w:hanging="360"/>
      </w:pPr>
      <w:rPr>
        <w:rFonts w:ascii="Courier New" w:hAnsi="Courier New" w:cs="Courier New" w:hint="default"/>
      </w:rPr>
    </w:lvl>
    <w:lvl w:ilvl="5" w:tplc="240A0005">
      <w:start w:val="1"/>
      <w:numFmt w:val="bullet"/>
      <w:lvlText w:val=""/>
      <w:lvlJc w:val="left"/>
      <w:pPr>
        <w:ind w:left="5385" w:hanging="360"/>
      </w:pPr>
      <w:rPr>
        <w:rFonts w:ascii="Wingdings" w:hAnsi="Wingdings" w:hint="default"/>
      </w:rPr>
    </w:lvl>
    <w:lvl w:ilvl="6" w:tplc="240A0001">
      <w:start w:val="1"/>
      <w:numFmt w:val="bullet"/>
      <w:lvlText w:val=""/>
      <w:lvlJc w:val="left"/>
      <w:pPr>
        <w:ind w:left="6105" w:hanging="360"/>
      </w:pPr>
      <w:rPr>
        <w:rFonts w:ascii="Symbol" w:hAnsi="Symbol" w:hint="default"/>
      </w:rPr>
    </w:lvl>
    <w:lvl w:ilvl="7" w:tplc="240A0003">
      <w:start w:val="1"/>
      <w:numFmt w:val="bullet"/>
      <w:lvlText w:val="o"/>
      <w:lvlJc w:val="left"/>
      <w:pPr>
        <w:ind w:left="6825" w:hanging="360"/>
      </w:pPr>
      <w:rPr>
        <w:rFonts w:ascii="Courier New" w:hAnsi="Courier New" w:cs="Courier New" w:hint="default"/>
      </w:rPr>
    </w:lvl>
    <w:lvl w:ilvl="8" w:tplc="240A0005">
      <w:start w:val="1"/>
      <w:numFmt w:val="bullet"/>
      <w:lvlText w:val=""/>
      <w:lvlJc w:val="left"/>
      <w:pPr>
        <w:ind w:left="7545" w:hanging="360"/>
      </w:pPr>
      <w:rPr>
        <w:rFonts w:ascii="Wingdings" w:hAnsi="Wingdings" w:hint="default"/>
      </w:rPr>
    </w:lvl>
  </w:abstractNum>
  <w:abstractNum w:abstractNumId="2" w15:restartNumberingAfterBreak="0">
    <w:nsid w:val="097166AF"/>
    <w:multiLevelType w:val="hybridMultilevel"/>
    <w:tmpl w:val="03262440"/>
    <w:lvl w:ilvl="0" w:tplc="D2083A9C">
      <w:start w:val="1"/>
      <w:numFmt w:val="lowerLetter"/>
      <w:lvlText w:val="%1."/>
      <w:lvlJc w:val="left"/>
      <w:pPr>
        <w:ind w:left="1065" w:hanging="360"/>
      </w:pPr>
      <w:rPr>
        <w:rFonts w:ascii="Century Gothic" w:hAnsi="Century Gothic" w:hint="default"/>
        <w:sz w:val="22"/>
        <w:szCs w:val="22"/>
      </w:rPr>
    </w:lvl>
    <w:lvl w:ilvl="1" w:tplc="240A0003">
      <w:start w:val="1"/>
      <w:numFmt w:val="bullet"/>
      <w:lvlText w:val="o"/>
      <w:lvlJc w:val="left"/>
      <w:pPr>
        <w:ind w:left="2291" w:hanging="360"/>
      </w:pPr>
      <w:rPr>
        <w:rFonts w:ascii="Courier New" w:hAnsi="Courier New" w:cs="Courier New" w:hint="default"/>
      </w:rPr>
    </w:lvl>
    <w:lvl w:ilvl="2" w:tplc="240A0005">
      <w:start w:val="1"/>
      <w:numFmt w:val="bullet"/>
      <w:lvlText w:val=""/>
      <w:lvlJc w:val="left"/>
      <w:pPr>
        <w:ind w:left="3011" w:hanging="360"/>
      </w:pPr>
      <w:rPr>
        <w:rFonts w:ascii="Wingdings" w:hAnsi="Wingdings" w:hint="default"/>
      </w:rPr>
    </w:lvl>
    <w:lvl w:ilvl="3" w:tplc="240A0001">
      <w:start w:val="1"/>
      <w:numFmt w:val="bullet"/>
      <w:lvlText w:val=""/>
      <w:lvlJc w:val="left"/>
      <w:pPr>
        <w:ind w:left="3731" w:hanging="360"/>
      </w:pPr>
      <w:rPr>
        <w:rFonts w:ascii="Symbol" w:hAnsi="Symbol" w:hint="default"/>
      </w:rPr>
    </w:lvl>
    <w:lvl w:ilvl="4" w:tplc="240A0003">
      <w:start w:val="1"/>
      <w:numFmt w:val="bullet"/>
      <w:lvlText w:val="o"/>
      <w:lvlJc w:val="left"/>
      <w:pPr>
        <w:ind w:left="4451" w:hanging="360"/>
      </w:pPr>
      <w:rPr>
        <w:rFonts w:ascii="Courier New" w:hAnsi="Courier New" w:cs="Courier New" w:hint="default"/>
      </w:rPr>
    </w:lvl>
    <w:lvl w:ilvl="5" w:tplc="240A0005">
      <w:start w:val="1"/>
      <w:numFmt w:val="bullet"/>
      <w:lvlText w:val=""/>
      <w:lvlJc w:val="left"/>
      <w:pPr>
        <w:ind w:left="5171" w:hanging="360"/>
      </w:pPr>
      <w:rPr>
        <w:rFonts w:ascii="Wingdings" w:hAnsi="Wingdings" w:hint="default"/>
      </w:rPr>
    </w:lvl>
    <w:lvl w:ilvl="6" w:tplc="240A0001">
      <w:start w:val="1"/>
      <w:numFmt w:val="bullet"/>
      <w:lvlText w:val=""/>
      <w:lvlJc w:val="left"/>
      <w:pPr>
        <w:ind w:left="5891" w:hanging="360"/>
      </w:pPr>
      <w:rPr>
        <w:rFonts w:ascii="Symbol" w:hAnsi="Symbol" w:hint="default"/>
      </w:rPr>
    </w:lvl>
    <w:lvl w:ilvl="7" w:tplc="240A0003">
      <w:start w:val="1"/>
      <w:numFmt w:val="bullet"/>
      <w:lvlText w:val="o"/>
      <w:lvlJc w:val="left"/>
      <w:pPr>
        <w:ind w:left="6611" w:hanging="360"/>
      </w:pPr>
      <w:rPr>
        <w:rFonts w:ascii="Courier New" w:hAnsi="Courier New" w:cs="Courier New" w:hint="default"/>
      </w:rPr>
    </w:lvl>
    <w:lvl w:ilvl="8" w:tplc="240A0005">
      <w:start w:val="1"/>
      <w:numFmt w:val="bullet"/>
      <w:lvlText w:val=""/>
      <w:lvlJc w:val="left"/>
      <w:pPr>
        <w:ind w:left="7331" w:hanging="360"/>
      </w:pPr>
      <w:rPr>
        <w:rFonts w:ascii="Wingdings" w:hAnsi="Wingdings" w:hint="default"/>
      </w:rPr>
    </w:lvl>
  </w:abstractNum>
  <w:abstractNum w:abstractNumId="3" w15:restartNumberingAfterBreak="0">
    <w:nsid w:val="0B08633D"/>
    <w:multiLevelType w:val="hybridMultilevel"/>
    <w:tmpl w:val="F8F22258"/>
    <w:lvl w:ilvl="0" w:tplc="0514146C">
      <w:start w:val="1"/>
      <w:numFmt w:val="decimal"/>
      <w:lvlText w:val="%1."/>
      <w:lvlJc w:val="left"/>
      <w:pPr>
        <w:ind w:left="2915" w:hanging="360"/>
      </w:pPr>
    </w:lvl>
    <w:lvl w:ilvl="1" w:tplc="240A0019">
      <w:start w:val="1"/>
      <w:numFmt w:val="lowerLetter"/>
      <w:lvlText w:val="%2."/>
      <w:lvlJc w:val="left"/>
      <w:pPr>
        <w:ind w:left="3635" w:hanging="360"/>
      </w:pPr>
    </w:lvl>
    <w:lvl w:ilvl="2" w:tplc="240A001B">
      <w:start w:val="1"/>
      <w:numFmt w:val="lowerRoman"/>
      <w:lvlText w:val="%3."/>
      <w:lvlJc w:val="right"/>
      <w:pPr>
        <w:ind w:left="4355" w:hanging="180"/>
      </w:pPr>
    </w:lvl>
    <w:lvl w:ilvl="3" w:tplc="240A000F">
      <w:start w:val="1"/>
      <w:numFmt w:val="decimal"/>
      <w:lvlText w:val="%4."/>
      <w:lvlJc w:val="left"/>
      <w:pPr>
        <w:ind w:left="5075" w:hanging="360"/>
      </w:pPr>
    </w:lvl>
    <w:lvl w:ilvl="4" w:tplc="240A0019">
      <w:start w:val="1"/>
      <w:numFmt w:val="lowerLetter"/>
      <w:lvlText w:val="%5."/>
      <w:lvlJc w:val="left"/>
      <w:pPr>
        <w:ind w:left="5795" w:hanging="360"/>
      </w:pPr>
    </w:lvl>
    <w:lvl w:ilvl="5" w:tplc="240A001B">
      <w:start w:val="1"/>
      <w:numFmt w:val="lowerRoman"/>
      <w:lvlText w:val="%6."/>
      <w:lvlJc w:val="right"/>
      <w:pPr>
        <w:ind w:left="6515" w:hanging="180"/>
      </w:pPr>
    </w:lvl>
    <w:lvl w:ilvl="6" w:tplc="240A000F">
      <w:start w:val="1"/>
      <w:numFmt w:val="decimal"/>
      <w:lvlText w:val="%7."/>
      <w:lvlJc w:val="left"/>
      <w:pPr>
        <w:ind w:left="7235" w:hanging="360"/>
      </w:pPr>
    </w:lvl>
    <w:lvl w:ilvl="7" w:tplc="240A0019">
      <w:start w:val="1"/>
      <w:numFmt w:val="lowerLetter"/>
      <w:lvlText w:val="%8."/>
      <w:lvlJc w:val="left"/>
      <w:pPr>
        <w:ind w:left="7955" w:hanging="360"/>
      </w:pPr>
    </w:lvl>
    <w:lvl w:ilvl="8" w:tplc="240A001B">
      <w:start w:val="1"/>
      <w:numFmt w:val="lowerRoman"/>
      <w:lvlText w:val="%9."/>
      <w:lvlJc w:val="right"/>
      <w:pPr>
        <w:ind w:left="8675" w:hanging="180"/>
      </w:pPr>
    </w:lvl>
  </w:abstractNum>
  <w:abstractNum w:abstractNumId="4" w15:restartNumberingAfterBreak="0">
    <w:nsid w:val="12BE2F32"/>
    <w:multiLevelType w:val="hybridMultilevel"/>
    <w:tmpl w:val="892A74B2"/>
    <w:lvl w:ilvl="0" w:tplc="240A000B">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 w15:restartNumberingAfterBreak="0">
    <w:nsid w:val="13E01BD7"/>
    <w:multiLevelType w:val="hybridMultilevel"/>
    <w:tmpl w:val="676AE5BE"/>
    <w:lvl w:ilvl="0" w:tplc="240A0001">
      <w:start w:val="1"/>
      <w:numFmt w:val="bullet"/>
      <w:lvlText w:val=""/>
      <w:lvlJc w:val="left"/>
      <w:pPr>
        <w:ind w:left="1571" w:hanging="360"/>
      </w:pPr>
      <w:rPr>
        <w:rFonts w:ascii="Symbol" w:hAnsi="Symbol" w:hint="default"/>
      </w:rPr>
    </w:lvl>
    <w:lvl w:ilvl="1" w:tplc="240A0003">
      <w:start w:val="1"/>
      <w:numFmt w:val="bullet"/>
      <w:lvlText w:val="o"/>
      <w:lvlJc w:val="left"/>
      <w:pPr>
        <w:ind w:left="2291" w:hanging="360"/>
      </w:pPr>
      <w:rPr>
        <w:rFonts w:ascii="Courier New" w:hAnsi="Courier New" w:cs="Courier New" w:hint="default"/>
      </w:rPr>
    </w:lvl>
    <w:lvl w:ilvl="2" w:tplc="240A0005">
      <w:start w:val="1"/>
      <w:numFmt w:val="bullet"/>
      <w:lvlText w:val=""/>
      <w:lvlJc w:val="left"/>
      <w:pPr>
        <w:ind w:left="3011" w:hanging="360"/>
      </w:pPr>
      <w:rPr>
        <w:rFonts w:ascii="Wingdings" w:hAnsi="Wingdings" w:hint="default"/>
      </w:rPr>
    </w:lvl>
    <w:lvl w:ilvl="3" w:tplc="240A0001">
      <w:start w:val="1"/>
      <w:numFmt w:val="bullet"/>
      <w:lvlText w:val=""/>
      <w:lvlJc w:val="left"/>
      <w:pPr>
        <w:ind w:left="3731" w:hanging="360"/>
      </w:pPr>
      <w:rPr>
        <w:rFonts w:ascii="Symbol" w:hAnsi="Symbol" w:hint="default"/>
      </w:rPr>
    </w:lvl>
    <w:lvl w:ilvl="4" w:tplc="240A0003">
      <w:start w:val="1"/>
      <w:numFmt w:val="bullet"/>
      <w:lvlText w:val="o"/>
      <w:lvlJc w:val="left"/>
      <w:pPr>
        <w:ind w:left="4451" w:hanging="360"/>
      </w:pPr>
      <w:rPr>
        <w:rFonts w:ascii="Courier New" w:hAnsi="Courier New" w:cs="Courier New" w:hint="default"/>
      </w:rPr>
    </w:lvl>
    <w:lvl w:ilvl="5" w:tplc="240A0005">
      <w:start w:val="1"/>
      <w:numFmt w:val="bullet"/>
      <w:lvlText w:val=""/>
      <w:lvlJc w:val="left"/>
      <w:pPr>
        <w:ind w:left="5171" w:hanging="360"/>
      </w:pPr>
      <w:rPr>
        <w:rFonts w:ascii="Wingdings" w:hAnsi="Wingdings" w:hint="default"/>
      </w:rPr>
    </w:lvl>
    <w:lvl w:ilvl="6" w:tplc="240A0001">
      <w:start w:val="1"/>
      <w:numFmt w:val="bullet"/>
      <w:lvlText w:val=""/>
      <w:lvlJc w:val="left"/>
      <w:pPr>
        <w:ind w:left="5891" w:hanging="360"/>
      </w:pPr>
      <w:rPr>
        <w:rFonts w:ascii="Symbol" w:hAnsi="Symbol" w:hint="default"/>
      </w:rPr>
    </w:lvl>
    <w:lvl w:ilvl="7" w:tplc="240A0003">
      <w:start w:val="1"/>
      <w:numFmt w:val="bullet"/>
      <w:lvlText w:val="o"/>
      <w:lvlJc w:val="left"/>
      <w:pPr>
        <w:ind w:left="6611" w:hanging="360"/>
      </w:pPr>
      <w:rPr>
        <w:rFonts w:ascii="Courier New" w:hAnsi="Courier New" w:cs="Courier New" w:hint="default"/>
      </w:rPr>
    </w:lvl>
    <w:lvl w:ilvl="8" w:tplc="240A0005">
      <w:start w:val="1"/>
      <w:numFmt w:val="bullet"/>
      <w:lvlText w:val=""/>
      <w:lvlJc w:val="left"/>
      <w:pPr>
        <w:ind w:left="7331" w:hanging="360"/>
      </w:pPr>
      <w:rPr>
        <w:rFonts w:ascii="Wingdings" w:hAnsi="Wingdings" w:hint="default"/>
      </w:rPr>
    </w:lvl>
  </w:abstractNum>
  <w:abstractNum w:abstractNumId="6" w15:restartNumberingAfterBreak="0">
    <w:nsid w:val="18EA6F2F"/>
    <w:multiLevelType w:val="hybridMultilevel"/>
    <w:tmpl w:val="E8BAB774"/>
    <w:lvl w:ilvl="0" w:tplc="7EAE56DE">
      <w:start w:val="1"/>
      <w:numFmt w:val="bullet"/>
      <w:pStyle w:val="Subttulo"/>
      <w:lvlText w:val=""/>
      <w:lvlJc w:val="left"/>
      <w:pPr>
        <w:ind w:left="1211" w:hanging="360"/>
      </w:pPr>
      <w:rPr>
        <w:rFonts w:ascii="Symbol" w:hAnsi="Symbol" w:hint="default"/>
      </w:rPr>
    </w:lvl>
    <w:lvl w:ilvl="1" w:tplc="240A0003">
      <w:start w:val="1"/>
      <w:numFmt w:val="bullet"/>
      <w:lvlText w:val="o"/>
      <w:lvlJc w:val="left"/>
      <w:pPr>
        <w:ind w:left="1931" w:hanging="360"/>
      </w:pPr>
      <w:rPr>
        <w:rFonts w:ascii="Courier New" w:hAnsi="Courier New" w:cs="Courier New" w:hint="default"/>
      </w:rPr>
    </w:lvl>
    <w:lvl w:ilvl="2" w:tplc="240A0005">
      <w:start w:val="1"/>
      <w:numFmt w:val="bullet"/>
      <w:lvlText w:val=""/>
      <w:lvlJc w:val="left"/>
      <w:pPr>
        <w:ind w:left="2651" w:hanging="360"/>
      </w:pPr>
      <w:rPr>
        <w:rFonts w:ascii="Wingdings" w:hAnsi="Wingdings" w:hint="default"/>
      </w:rPr>
    </w:lvl>
    <w:lvl w:ilvl="3" w:tplc="240A0001">
      <w:start w:val="1"/>
      <w:numFmt w:val="bullet"/>
      <w:lvlText w:val=""/>
      <w:lvlJc w:val="left"/>
      <w:pPr>
        <w:ind w:left="3371" w:hanging="360"/>
      </w:pPr>
      <w:rPr>
        <w:rFonts w:ascii="Symbol" w:hAnsi="Symbol" w:hint="default"/>
      </w:rPr>
    </w:lvl>
    <w:lvl w:ilvl="4" w:tplc="240A0003">
      <w:start w:val="1"/>
      <w:numFmt w:val="bullet"/>
      <w:lvlText w:val="o"/>
      <w:lvlJc w:val="left"/>
      <w:pPr>
        <w:ind w:left="4091" w:hanging="360"/>
      </w:pPr>
      <w:rPr>
        <w:rFonts w:ascii="Courier New" w:hAnsi="Courier New" w:cs="Courier New" w:hint="default"/>
      </w:rPr>
    </w:lvl>
    <w:lvl w:ilvl="5" w:tplc="240A0005">
      <w:start w:val="1"/>
      <w:numFmt w:val="bullet"/>
      <w:lvlText w:val=""/>
      <w:lvlJc w:val="left"/>
      <w:pPr>
        <w:ind w:left="4811" w:hanging="360"/>
      </w:pPr>
      <w:rPr>
        <w:rFonts w:ascii="Wingdings" w:hAnsi="Wingdings" w:hint="default"/>
      </w:rPr>
    </w:lvl>
    <w:lvl w:ilvl="6" w:tplc="240A0001">
      <w:start w:val="1"/>
      <w:numFmt w:val="bullet"/>
      <w:lvlText w:val=""/>
      <w:lvlJc w:val="left"/>
      <w:pPr>
        <w:ind w:left="5531" w:hanging="360"/>
      </w:pPr>
      <w:rPr>
        <w:rFonts w:ascii="Symbol" w:hAnsi="Symbol" w:hint="default"/>
      </w:rPr>
    </w:lvl>
    <w:lvl w:ilvl="7" w:tplc="240A0003">
      <w:start w:val="1"/>
      <w:numFmt w:val="bullet"/>
      <w:lvlText w:val="o"/>
      <w:lvlJc w:val="left"/>
      <w:pPr>
        <w:ind w:left="6251" w:hanging="360"/>
      </w:pPr>
      <w:rPr>
        <w:rFonts w:ascii="Courier New" w:hAnsi="Courier New" w:cs="Courier New" w:hint="default"/>
      </w:rPr>
    </w:lvl>
    <w:lvl w:ilvl="8" w:tplc="240A0005">
      <w:start w:val="1"/>
      <w:numFmt w:val="bullet"/>
      <w:lvlText w:val=""/>
      <w:lvlJc w:val="left"/>
      <w:pPr>
        <w:ind w:left="6971" w:hanging="360"/>
      </w:pPr>
      <w:rPr>
        <w:rFonts w:ascii="Wingdings" w:hAnsi="Wingdings" w:hint="default"/>
      </w:rPr>
    </w:lvl>
  </w:abstractNum>
  <w:abstractNum w:abstractNumId="7" w15:restartNumberingAfterBreak="0">
    <w:nsid w:val="1BFE0FF1"/>
    <w:multiLevelType w:val="hybridMultilevel"/>
    <w:tmpl w:val="FC76CA1C"/>
    <w:lvl w:ilvl="0" w:tplc="040A0005">
      <w:start w:val="1"/>
      <w:numFmt w:val="bullet"/>
      <w:lvlText w:val=""/>
      <w:lvlJc w:val="left"/>
      <w:pPr>
        <w:ind w:left="1428" w:hanging="360"/>
      </w:pPr>
      <w:rPr>
        <w:rFonts w:ascii="Wingdings" w:hAnsi="Wingdings" w:hint="default"/>
      </w:rPr>
    </w:lvl>
    <w:lvl w:ilvl="1" w:tplc="240A0003">
      <w:start w:val="1"/>
      <w:numFmt w:val="bullet"/>
      <w:lvlText w:val="o"/>
      <w:lvlJc w:val="left"/>
      <w:pPr>
        <w:ind w:left="2291" w:hanging="360"/>
      </w:pPr>
      <w:rPr>
        <w:rFonts w:ascii="Courier New" w:hAnsi="Courier New" w:cs="Courier New" w:hint="default"/>
      </w:rPr>
    </w:lvl>
    <w:lvl w:ilvl="2" w:tplc="240A0005">
      <w:start w:val="1"/>
      <w:numFmt w:val="bullet"/>
      <w:lvlText w:val=""/>
      <w:lvlJc w:val="left"/>
      <w:pPr>
        <w:ind w:left="3011" w:hanging="360"/>
      </w:pPr>
      <w:rPr>
        <w:rFonts w:ascii="Wingdings" w:hAnsi="Wingdings" w:hint="default"/>
      </w:rPr>
    </w:lvl>
    <w:lvl w:ilvl="3" w:tplc="240A0001">
      <w:start w:val="1"/>
      <w:numFmt w:val="bullet"/>
      <w:lvlText w:val=""/>
      <w:lvlJc w:val="left"/>
      <w:pPr>
        <w:ind w:left="3731" w:hanging="360"/>
      </w:pPr>
      <w:rPr>
        <w:rFonts w:ascii="Symbol" w:hAnsi="Symbol" w:hint="default"/>
      </w:rPr>
    </w:lvl>
    <w:lvl w:ilvl="4" w:tplc="240A0003">
      <w:start w:val="1"/>
      <w:numFmt w:val="bullet"/>
      <w:lvlText w:val="o"/>
      <w:lvlJc w:val="left"/>
      <w:pPr>
        <w:ind w:left="4451" w:hanging="360"/>
      </w:pPr>
      <w:rPr>
        <w:rFonts w:ascii="Courier New" w:hAnsi="Courier New" w:cs="Courier New" w:hint="default"/>
      </w:rPr>
    </w:lvl>
    <w:lvl w:ilvl="5" w:tplc="240A0005">
      <w:start w:val="1"/>
      <w:numFmt w:val="bullet"/>
      <w:lvlText w:val=""/>
      <w:lvlJc w:val="left"/>
      <w:pPr>
        <w:ind w:left="5171" w:hanging="360"/>
      </w:pPr>
      <w:rPr>
        <w:rFonts w:ascii="Wingdings" w:hAnsi="Wingdings" w:hint="default"/>
      </w:rPr>
    </w:lvl>
    <w:lvl w:ilvl="6" w:tplc="240A0001">
      <w:start w:val="1"/>
      <w:numFmt w:val="bullet"/>
      <w:lvlText w:val=""/>
      <w:lvlJc w:val="left"/>
      <w:pPr>
        <w:ind w:left="5891" w:hanging="360"/>
      </w:pPr>
      <w:rPr>
        <w:rFonts w:ascii="Symbol" w:hAnsi="Symbol" w:hint="default"/>
      </w:rPr>
    </w:lvl>
    <w:lvl w:ilvl="7" w:tplc="240A0003">
      <w:start w:val="1"/>
      <w:numFmt w:val="bullet"/>
      <w:lvlText w:val="o"/>
      <w:lvlJc w:val="left"/>
      <w:pPr>
        <w:ind w:left="6611" w:hanging="360"/>
      </w:pPr>
      <w:rPr>
        <w:rFonts w:ascii="Courier New" w:hAnsi="Courier New" w:cs="Courier New" w:hint="default"/>
      </w:rPr>
    </w:lvl>
    <w:lvl w:ilvl="8" w:tplc="240A0005">
      <w:start w:val="1"/>
      <w:numFmt w:val="bullet"/>
      <w:lvlText w:val=""/>
      <w:lvlJc w:val="left"/>
      <w:pPr>
        <w:ind w:left="7331" w:hanging="360"/>
      </w:pPr>
      <w:rPr>
        <w:rFonts w:ascii="Wingdings" w:hAnsi="Wingdings" w:hint="default"/>
      </w:rPr>
    </w:lvl>
  </w:abstractNum>
  <w:abstractNum w:abstractNumId="8" w15:restartNumberingAfterBreak="0">
    <w:nsid w:val="1CE250C1"/>
    <w:multiLevelType w:val="multilevel"/>
    <w:tmpl w:val="BB729722"/>
    <w:lvl w:ilvl="0">
      <w:start w:val="5"/>
      <w:numFmt w:val="decimal"/>
      <w:lvlText w:val="%1"/>
      <w:lvlJc w:val="left"/>
      <w:pPr>
        <w:ind w:left="435" w:hanging="435"/>
      </w:pPr>
      <w:rPr>
        <w:rFonts w:hint="default"/>
      </w:rPr>
    </w:lvl>
    <w:lvl w:ilvl="1">
      <w:start w:val="1"/>
      <w:numFmt w:val="decimal"/>
      <w:pStyle w:val="Ttulo1"/>
      <w:lvlText w:val="%1.%2"/>
      <w:lvlJc w:val="left"/>
      <w:pPr>
        <w:ind w:left="435" w:hanging="43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F71A14"/>
    <w:multiLevelType w:val="hybridMultilevel"/>
    <w:tmpl w:val="68981834"/>
    <w:lvl w:ilvl="0" w:tplc="040A0005">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0" w15:restartNumberingAfterBreak="0">
    <w:nsid w:val="28C37323"/>
    <w:multiLevelType w:val="hybridMultilevel"/>
    <w:tmpl w:val="F00236CE"/>
    <w:lvl w:ilvl="0" w:tplc="040A0005">
      <w:start w:val="1"/>
      <w:numFmt w:val="bullet"/>
      <w:lvlText w:val=""/>
      <w:lvlJc w:val="left"/>
      <w:pPr>
        <w:ind w:left="1428" w:hanging="360"/>
      </w:pPr>
      <w:rPr>
        <w:rFonts w:ascii="Wingdings" w:hAnsi="Wingdings"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11" w15:restartNumberingAfterBreak="0">
    <w:nsid w:val="32E00B4A"/>
    <w:multiLevelType w:val="hybridMultilevel"/>
    <w:tmpl w:val="94E24DBE"/>
    <w:lvl w:ilvl="0" w:tplc="040A0001">
      <w:start w:val="1"/>
      <w:numFmt w:val="bullet"/>
      <w:lvlText w:val=""/>
      <w:lvlJc w:val="left"/>
      <w:pPr>
        <w:ind w:left="1429" w:hanging="360"/>
      </w:pPr>
      <w:rPr>
        <w:rFonts w:ascii="Symbol" w:hAnsi="Symbol" w:hint="default"/>
      </w:rPr>
    </w:lvl>
    <w:lvl w:ilvl="1" w:tplc="240A0003">
      <w:start w:val="1"/>
      <w:numFmt w:val="bullet"/>
      <w:lvlText w:val="o"/>
      <w:lvlJc w:val="left"/>
      <w:pPr>
        <w:ind w:left="2149" w:hanging="360"/>
      </w:pPr>
      <w:rPr>
        <w:rFonts w:ascii="Courier New" w:hAnsi="Courier New" w:cs="Courier New" w:hint="default"/>
      </w:rPr>
    </w:lvl>
    <w:lvl w:ilvl="2" w:tplc="240A0005">
      <w:start w:val="1"/>
      <w:numFmt w:val="bullet"/>
      <w:lvlText w:val=""/>
      <w:lvlJc w:val="left"/>
      <w:pPr>
        <w:ind w:left="2869" w:hanging="360"/>
      </w:pPr>
      <w:rPr>
        <w:rFonts w:ascii="Wingdings" w:hAnsi="Wingdings" w:hint="default"/>
      </w:rPr>
    </w:lvl>
    <w:lvl w:ilvl="3" w:tplc="240A0001">
      <w:start w:val="1"/>
      <w:numFmt w:val="bullet"/>
      <w:lvlText w:val=""/>
      <w:lvlJc w:val="left"/>
      <w:pPr>
        <w:ind w:left="3589" w:hanging="360"/>
      </w:pPr>
      <w:rPr>
        <w:rFonts w:ascii="Symbol" w:hAnsi="Symbol" w:hint="default"/>
      </w:rPr>
    </w:lvl>
    <w:lvl w:ilvl="4" w:tplc="240A0003">
      <w:start w:val="1"/>
      <w:numFmt w:val="bullet"/>
      <w:lvlText w:val="o"/>
      <w:lvlJc w:val="left"/>
      <w:pPr>
        <w:ind w:left="4309" w:hanging="360"/>
      </w:pPr>
      <w:rPr>
        <w:rFonts w:ascii="Courier New" w:hAnsi="Courier New" w:cs="Courier New" w:hint="default"/>
      </w:rPr>
    </w:lvl>
    <w:lvl w:ilvl="5" w:tplc="240A0005">
      <w:start w:val="1"/>
      <w:numFmt w:val="bullet"/>
      <w:lvlText w:val=""/>
      <w:lvlJc w:val="left"/>
      <w:pPr>
        <w:ind w:left="5029" w:hanging="360"/>
      </w:pPr>
      <w:rPr>
        <w:rFonts w:ascii="Wingdings" w:hAnsi="Wingdings" w:hint="default"/>
      </w:rPr>
    </w:lvl>
    <w:lvl w:ilvl="6" w:tplc="240A0001">
      <w:start w:val="1"/>
      <w:numFmt w:val="bullet"/>
      <w:lvlText w:val=""/>
      <w:lvlJc w:val="left"/>
      <w:pPr>
        <w:ind w:left="5749" w:hanging="360"/>
      </w:pPr>
      <w:rPr>
        <w:rFonts w:ascii="Symbol" w:hAnsi="Symbol" w:hint="default"/>
      </w:rPr>
    </w:lvl>
    <w:lvl w:ilvl="7" w:tplc="240A0003">
      <w:start w:val="1"/>
      <w:numFmt w:val="bullet"/>
      <w:lvlText w:val="o"/>
      <w:lvlJc w:val="left"/>
      <w:pPr>
        <w:ind w:left="6469" w:hanging="360"/>
      </w:pPr>
      <w:rPr>
        <w:rFonts w:ascii="Courier New" w:hAnsi="Courier New" w:cs="Courier New" w:hint="default"/>
      </w:rPr>
    </w:lvl>
    <w:lvl w:ilvl="8" w:tplc="240A0005">
      <w:start w:val="1"/>
      <w:numFmt w:val="bullet"/>
      <w:lvlText w:val=""/>
      <w:lvlJc w:val="left"/>
      <w:pPr>
        <w:ind w:left="7189" w:hanging="360"/>
      </w:pPr>
      <w:rPr>
        <w:rFonts w:ascii="Wingdings" w:hAnsi="Wingdings" w:hint="default"/>
      </w:rPr>
    </w:lvl>
  </w:abstractNum>
  <w:abstractNum w:abstractNumId="12" w15:restartNumberingAfterBreak="0">
    <w:nsid w:val="3B7C3656"/>
    <w:multiLevelType w:val="hybridMultilevel"/>
    <w:tmpl w:val="DD22E1B8"/>
    <w:lvl w:ilvl="0" w:tplc="D2083A9C">
      <w:start w:val="1"/>
      <w:numFmt w:val="lowerLetter"/>
      <w:lvlText w:val="%1."/>
      <w:lvlJc w:val="left"/>
      <w:pPr>
        <w:ind w:left="1065" w:hanging="360"/>
      </w:pPr>
      <w:rPr>
        <w:rFonts w:ascii="Century Gothic" w:hAnsi="Century Gothic" w:hint="default"/>
        <w:sz w:val="22"/>
        <w:szCs w:val="22"/>
      </w:rPr>
    </w:lvl>
    <w:lvl w:ilvl="1" w:tplc="040A0019" w:tentative="1">
      <w:start w:val="1"/>
      <w:numFmt w:val="lowerLetter"/>
      <w:lvlText w:val="%2."/>
      <w:lvlJc w:val="left"/>
      <w:pPr>
        <w:ind w:left="1506" w:hanging="360"/>
      </w:pPr>
    </w:lvl>
    <w:lvl w:ilvl="2" w:tplc="040A001B" w:tentative="1">
      <w:start w:val="1"/>
      <w:numFmt w:val="lowerRoman"/>
      <w:lvlText w:val="%3."/>
      <w:lvlJc w:val="right"/>
      <w:pPr>
        <w:ind w:left="2226" w:hanging="180"/>
      </w:pPr>
    </w:lvl>
    <w:lvl w:ilvl="3" w:tplc="040A000F" w:tentative="1">
      <w:start w:val="1"/>
      <w:numFmt w:val="decimal"/>
      <w:lvlText w:val="%4."/>
      <w:lvlJc w:val="left"/>
      <w:pPr>
        <w:ind w:left="2946" w:hanging="360"/>
      </w:pPr>
    </w:lvl>
    <w:lvl w:ilvl="4" w:tplc="040A0019" w:tentative="1">
      <w:start w:val="1"/>
      <w:numFmt w:val="lowerLetter"/>
      <w:lvlText w:val="%5."/>
      <w:lvlJc w:val="left"/>
      <w:pPr>
        <w:ind w:left="3666" w:hanging="360"/>
      </w:pPr>
    </w:lvl>
    <w:lvl w:ilvl="5" w:tplc="040A001B" w:tentative="1">
      <w:start w:val="1"/>
      <w:numFmt w:val="lowerRoman"/>
      <w:lvlText w:val="%6."/>
      <w:lvlJc w:val="right"/>
      <w:pPr>
        <w:ind w:left="4386" w:hanging="180"/>
      </w:pPr>
    </w:lvl>
    <w:lvl w:ilvl="6" w:tplc="040A000F" w:tentative="1">
      <w:start w:val="1"/>
      <w:numFmt w:val="decimal"/>
      <w:lvlText w:val="%7."/>
      <w:lvlJc w:val="left"/>
      <w:pPr>
        <w:ind w:left="5106" w:hanging="360"/>
      </w:pPr>
    </w:lvl>
    <w:lvl w:ilvl="7" w:tplc="040A0019" w:tentative="1">
      <w:start w:val="1"/>
      <w:numFmt w:val="lowerLetter"/>
      <w:lvlText w:val="%8."/>
      <w:lvlJc w:val="left"/>
      <w:pPr>
        <w:ind w:left="5826" w:hanging="360"/>
      </w:pPr>
    </w:lvl>
    <w:lvl w:ilvl="8" w:tplc="040A001B" w:tentative="1">
      <w:start w:val="1"/>
      <w:numFmt w:val="lowerRoman"/>
      <w:lvlText w:val="%9."/>
      <w:lvlJc w:val="right"/>
      <w:pPr>
        <w:ind w:left="6546" w:hanging="180"/>
      </w:pPr>
    </w:lvl>
  </w:abstractNum>
  <w:abstractNum w:abstractNumId="13" w15:restartNumberingAfterBreak="0">
    <w:nsid w:val="3DA942BF"/>
    <w:multiLevelType w:val="hybridMultilevel"/>
    <w:tmpl w:val="25BE5B24"/>
    <w:lvl w:ilvl="0" w:tplc="040A0001">
      <w:start w:val="1"/>
      <w:numFmt w:val="bullet"/>
      <w:lvlText w:val=""/>
      <w:lvlJc w:val="left"/>
      <w:pPr>
        <w:ind w:left="1429" w:hanging="360"/>
      </w:pPr>
      <w:rPr>
        <w:rFonts w:ascii="Symbol" w:hAnsi="Symbol" w:hint="default"/>
      </w:rPr>
    </w:lvl>
    <w:lvl w:ilvl="1" w:tplc="240A0003">
      <w:start w:val="1"/>
      <w:numFmt w:val="bullet"/>
      <w:lvlText w:val="o"/>
      <w:lvlJc w:val="left"/>
      <w:pPr>
        <w:ind w:left="2291" w:hanging="360"/>
      </w:pPr>
      <w:rPr>
        <w:rFonts w:ascii="Courier New" w:hAnsi="Courier New" w:cs="Courier New" w:hint="default"/>
      </w:rPr>
    </w:lvl>
    <w:lvl w:ilvl="2" w:tplc="240A0005">
      <w:start w:val="1"/>
      <w:numFmt w:val="bullet"/>
      <w:lvlText w:val=""/>
      <w:lvlJc w:val="left"/>
      <w:pPr>
        <w:ind w:left="3011" w:hanging="360"/>
      </w:pPr>
      <w:rPr>
        <w:rFonts w:ascii="Wingdings" w:hAnsi="Wingdings" w:hint="default"/>
      </w:rPr>
    </w:lvl>
    <w:lvl w:ilvl="3" w:tplc="240A0001">
      <w:start w:val="1"/>
      <w:numFmt w:val="bullet"/>
      <w:lvlText w:val=""/>
      <w:lvlJc w:val="left"/>
      <w:pPr>
        <w:ind w:left="3731" w:hanging="360"/>
      </w:pPr>
      <w:rPr>
        <w:rFonts w:ascii="Symbol" w:hAnsi="Symbol" w:hint="default"/>
      </w:rPr>
    </w:lvl>
    <w:lvl w:ilvl="4" w:tplc="240A0003">
      <w:start w:val="1"/>
      <w:numFmt w:val="bullet"/>
      <w:lvlText w:val="o"/>
      <w:lvlJc w:val="left"/>
      <w:pPr>
        <w:ind w:left="4451" w:hanging="360"/>
      </w:pPr>
      <w:rPr>
        <w:rFonts w:ascii="Courier New" w:hAnsi="Courier New" w:cs="Courier New" w:hint="default"/>
      </w:rPr>
    </w:lvl>
    <w:lvl w:ilvl="5" w:tplc="240A0005">
      <w:start w:val="1"/>
      <w:numFmt w:val="bullet"/>
      <w:lvlText w:val=""/>
      <w:lvlJc w:val="left"/>
      <w:pPr>
        <w:ind w:left="5171" w:hanging="360"/>
      </w:pPr>
      <w:rPr>
        <w:rFonts w:ascii="Wingdings" w:hAnsi="Wingdings" w:hint="default"/>
      </w:rPr>
    </w:lvl>
    <w:lvl w:ilvl="6" w:tplc="240A0001">
      <w:start w:val="1"/>
      <w:numFmt w:val="bullet"/>
      <w:lvlText w:val=""/>
      <w:lvlJc w:val="left"/>
      <w:pPr>
        <w:ind w:left="5891" w:hanging="360"/>
      </w:pPr>
      <w:rPr>
        <w:rFonts w:ascii="Symbol" w:hAnsi="Symbol" w:hint="default"/>
      </w:rPr>
    </w:lvl>
    <w:lvl w:ilvl="7" w:tplc="240A0003">
      <w:start w:val="1"/>
      <w:numFmt w:val="bullet"/>
      <w:lvlText w:val="o"/>
      <w:lvlJc w:val="left"/>
      <w:pPr>
        <w:ind w:left="6611" w:hanging="360"/>
      </w:pPr>
      <w:rPr>
        <w:rFonts w:ascii="Courier New" w:hAnsi="Courier New" w:cs="Courier New" w:hint="default"/>
      </w:rPr>
    </w:lvl>
    <w:lvl w:ilvl="8" w:tplc="240A0005">
      <w:start w:val="1"/>
      <w:numFmt w:val="bullet"/>
      <w:lvlText w:val=""/>
      <w:lvlJc w:val="left"/>
      <w:pPr>
        <w:ind w:left="7331" w:hanging="360"/>
      </w:pPr>
      <w:rPr>
        <w:rFonts w:ascii="Wingdings" w:hAnsi="Wingdings" w:hint="default"/>
      </w:rPr>
    </w:lvl>
  </w:abstractNum>
  <w:abstractNum w:abstractNumId="14" w15:restartNumberingAfterBreak="0">
    <w:nsid w:val="41587D70"/>
    <w:multiLevelType w:val="hybridMultilevel"/>
    <w:tmpl w:val="98FEB6F4"/>
    <w:lvl w:ilvl="0" w:tplc="D2083A9C">
      <w:start w:val="1"/>
      <w:numFmt w:val="lowerLetter"/>
      <w:lvlText w:val="%1."/>
      <w:lvlJc w:val="left"/>
      <w:pPr>
        <w:ind w:left="1065" w:hanging="360"/>
      </w:pPr>
      <w:rPr>
        <w:rFonts w:ascii="Century Gothic" w:hAnsi="Century Gothic" w:hint="default"/>
        <w:sz w:val="22"/>
        <w:szCs w:val="22"/>
      </w:rPr>
    </w:lvl>
    <w:lvl w:ilvl="1" w:tplc="240A0019">
      <w:start w:val="1"/>
      <w:numFmt w:val="lowerLetter"/>
      <w:lvlText w:val="%2."/>
      <w:lvlJc w:val="left"/>
      <w:pPr>
        <w:ind w:left="1785" w:hanging="360"/>
      </w:pPr>
    </w:lvl>
    <w:lvl w:ilvl="2" w:tplc="240A001B">
      <w:start w:val="1"/>
      <w:numFmt w:val="lowerRoman"/>
      <w:lvlText w:val="%3."/>
      <w:lvlJc w:val="right"/>
      <w:pPr>
        <w:ind w:left="2505" w:hanging="180"/>
      </w:pPr>
    </w:lvl>
    <w:lvl w:ilvl="3" w:tplc="240A000F">
      <w:start w:val="1"/>
      <w:numFmt w:val="decimal"/>
      <w:lvlText w:val="%4."/>
      <w:lvlJc w:val="left"/>
      <w:pPr>
        <w:ind w:left="3225" w:hanging="360"/>
      </w:pPr>
    </w:lvl>
    <w:lvl w:ilvl="4" w:tplc="240A0019">
      <w:start w:val="1"/>
      <w:numFmt w:val="lowerLetter"/>
      <w:lvlText w:val="%5."/>
      <w:lvlJc w:val="left"/>
      <w:pPr>
        <w:ind w:left="3945" w:hanging="360"/>
      </w:pPr>
    </w:lvl>
    <w:lvl w:ilvl="5" w:tplc="240A001B">
      <w:start w:val="1"/>
      <w:numFmt w:val="lowerRoman"/>
      <w:lvlText w:val="%6."/>
      <w:lvlJc w:val="right"/>
      <w:pPr>
        <w:ind w:left="4665" w:hanging="180"/>
      </w:pPr>
    </w:lvl>
    <w:lvl w:ilvl="6" w:tplc="240A000F">
      <w:start w:val="1"/>
      <w:numFmt w:val="decimal"/>
      <w:lvlText w:val="%7."/>
      <w:lvlJc w:val="left"/>
      <w:pPr>
        <w:ind w:left="5385" w:hanging="360"/>
      </w:pPr>
    </w:lvl>
    <w:lvl w:ilvl="7" w:tplc="240A0019">
      <w:start w:val="1"/>
      <w:numFmt w:val="lowerLetter"/>
      <w:lvlText w:val="%8."/>
      <w:lvlJc w:val="left"/>
      <w:pPr>
        <w:ind w:left="6105" w:hanging="360"/>
      </w:pPr>
    </w:lvl>
    <w:lvl w:ilvl="8" w:tplc="240A001B">
      <w:start w:val="1"/>
      <w:numFmt w:val="lowerRoman"/>
      <w:lvlText w:val="%9."/>
      <w:lvlJc w:val="right"/>
      <w:pPr>
        <w:ind w:left="6825" w:hanging="180"/>
      </w:pPr>
    </w:lvl>
  </w:abstractNum>
  <w:abstractNum w:abstractNumId="15" w15:restartNumberingAfterBreak="0">
    <w:nsid w:val="458C482D"/>
    <w:multiLevelType w:val="hybridMultilevel"/>
    <w:tmpl w:val="682A8362"/>
    <w:lvl w:ilvl="0" w:tplc="240A0001">
      <w:start w:val="1"/>
      <w:numFmt w:val="bullet"/>
      <w:lvlText w:val=""/>
      <w:lvlJc w:val="left"/>
      <w:pPr>
        <w:ind w:left="1571" w:hanging="360"/>
      </w:pPr>
      <w:rPr>
        <w:rFonts w:ascii="Symbol" w:hAnsi="Symbol" w:hint="default"/>
      </w:rPr>
    </w:lvl>
    <w:lvl w:ilvl="1" w:tplc="240A0003">
      <w:start w:val="1"/>
      <w:numFmt w:val="bullet"/>
      <w:lvlText w:val="o"/>
      <w:lvlJc w:val="left"/>
      <w:pPr>
        <w:ind w:left="2291" w:hanging="360"/>
      </w:pPr>
      <w:rPr>
        <w:rFonts w:ascii="Courier New" w:hAnsi="Courier New" w:cs="Courier New" w:hint="default"/>
      </w:rPr>
    </w:lvl>
    <w:lvl w:ilvl="2" w:tplc="240A0005">
      <w:start w:val="1"/>
      <w:numFmt w:val="bullet"/>
      <w:lvlText w:val=""/>
      <w:lvlJc w:val="left"/>
      <w:pPr>
        <w:ind w:left="3011" w:hanging="360"/>
      </w:pPr>
      <w:rPr>
        <w:rFonts w:ascii="Wingdings" w:hAnsi="Wingdings" w:hint="default"/>
      </w:rPr>
    </w:lvl>
    <w:lvl w:ilvl="3" w:tplc="240A0001">
      <w:start w:val="1"/>
      <w:numFmt w:val="bullet"/>
      <w:lvlText w:val=""/>
      <w:lvlJc w:val="left"/>
      <w:pPr>
        <w:ind w:left="3731" w:hanging="360"/>
      </w:pPr>
      <w:rPr>
        <w:rFonts w:ascii="Symbol" w:hAnsi="Symbol" w:hint="default"/>
      </w:rPr>
    </w:lvl>
    <w:lvl w:ilvl="4" w:tplc="240A0003">
      <w:start w:val="1"/>
      <w:numFmt w:val="bullet"/>
      <w:lvlText w:val="o"/>
      <w:lvlJc w:val="left"/>
      <w:pPr>
        <w:ind w:left="4451" w:hanging="360"/>
      </w:pPr>
      <w:rPr>
        <w:rFonts w:ascii="Courier New" w:hAnsi="Courier New" w:cs="Courier New" w:hint="default"/>
      </w:rPr>
    </w:lvl>
    <w:lvl w:ilvl="5" w:tplc="240A0005">
      <w:start w:val="1"/>
      <w:numFmt w:val="bullet"/>
      <w:lvlText w:val=""/>
      <w:lvlJc w:val="left"/>
      <w:pPr>
        <w:ind w:left="5171" w:hanging="360"/>
      </w:pPr>
      <w:rPr>
        <w:rFonts w:ascii="Wingdings" w:hAnsi="Wingdings" w:hint="default"/>
      </w:rPr>
    </w:lvl>
    <w:lvl w:ilvl="6" w:tplc="240A0001">
      <w:start w:val="1"/>
      <w:numFmt w:val="bullet"/>
      <w:lvlText w:val=""/>
      <w:lvlJc w:val="left"/>
      <w:pPr>
        <w:ind w:left="5891" w:hanging="360"/>
      </w:pPr>
      <w:rPr>
        <w:rFonts w:ascii="Symbol" w:hAnsi="Symbol" w:hint="default"/>
      </w:rPr>
    </w:lvl>
    <w:lvl w:ilvl="7" w:tplc="240A0003">
      <w:start w:val="1"/>
      <w:numFmt w:val="bullet"/>
      <w:lvlText w:val="o"/>
      <w:lvlJc w:val="left"/>
      <w:pPr>
        <w:ind w:left="6611" w:hanging="360"/>
      </w:pPr>
      <w:rPr>
        <w:rFonts w:ascii="Courier New" w:hAnsi="Courier New" w:cs="Courier New" w:hint="default"/>
      </w:rPr>
    </w:lvl>
    <w:lvl w:ilvl="8" w:tplc="240A0005">
      <w:start w:val="1"/>
      <w:numFmt w:val="bullet"/>
      <w:lvlText w:val=""/>
      <w:lvlJc w:val="left"/>
      <w:pPr>
        <w:ind w:left="7331" w:hanging="360"/>
      </w:pPr>
      <w:rPr>
        <w:rFonts w:ascii="Wingdings" w:hAnsi="Wingdings" w:hint="default"/>
      </w:rPr>
    </w:lvl>
  </w:abstractNum>
  <w:abstractNum w:abstractNumId="16" w15:restartNumberingAfterBreak="0">
    <w:nsid w:val="494F1B01"/>
    <w:multiLevelType w:val="hybridMultilevel"/>
    <w:tmpl w:val="85B605B8"/>
    <w:lvl w:ilvl="0" w:tplc="040A0005">
      <w:start w:val="1"/>
      <w:numFmt w:val="bullet"/>
      <w:lvlText w:val=""/>
      <w:lvlJc w:val="left"/>
      <w:pPr>
        <w:ind w:left="1428" w:hanging="360"/>
      </w:pPr>
      <w:rPr>
        <w:rFonts w:ascii="Wingdings" w:hAnsi="Wingdings"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17" w15:restartNumberingAfterBreak="0">
    <w:nsid w:val="4A6F35F1"/>
    <w:multiLevelType w:val="hybridMultilevel"/>
    <w:tmpl w:val="9C4C7FEE"/>
    <w:lvl w:ilvl="0" w:tplc="040A0001">
      <w:start w:val="1"/>
      <w:numFmt w:val="bullet"/>
      <w:lvlText w:val=""/>
      <w:lvlJc w:val="left"/>
      <w:pPr>
        <w:ind w:left="1429" w:hanging="360"/>
      </w:pPr>
      <w:rPr>
        <w:rFonts w:ascii="Symbol" w:hAnsi="Symbol" w:hint="default"/>
      </w:rPr>
    </w:lvl>
    <w:lvl w:ilvl="1" w:tplc="240A0003">
      <w:start w:val="1"/>
      <w:numFmt w:val="bullet"/>
      <w:lvlText w:val="o"/>
      <w:lvlJc w:val="left"/>
      <w:pPr>
        <w:ind w:left="2291" w:hanging="360"/>
      </w:pPr>
      <w:rPr>
        <w:rFonts w:ascii="Courier New" w:hAnsi="Courier New" w:cs="Courier New" w:hint="default"/>
      </w:rPr>
    </w:lvl>
    <w:lvl w:ilvl="2" w:tplc="240A0005">
      <w:start w:val="1"/>
      <w:numFmt w:val="bullet"/>
      <w:lvlText w:val=""/>
      <w:lvlJc w:val="left"/>
      <w:pPr>
        <w:ind w:left="3011" w:hanging="360"/>
      </w:pPr>
      <w:rPr>
        <w:rFonts w:ascii="Wingdings" w:hAnsi="Wingdings" w:hint="default"/>
      </w:rPr>
    </w:lvl>
    <w:lvl w:ilvl="3" w:tplc="240A0001">
      <w:start w:val="1"/>
      <w:numFmt w:val="bullet"/>
      <w:lvlText w:val=""/>
      <w:lvlJc w:val="left"/>
      <w:pPr>
        <w:ind w:left="3731" w:hanging="360"/>
      </w:pPr>
      <w:rPr>
        <w:rFonts w:ascii="Symbol" w:hAnsi="Symbol" w:hint="default"/>
      </w:rPr>
    </w:lvl>
    <w:lvl w:ilvl="4" w:tplc="240A0003">
      <w:start w:val="1"/>
      <w:numFmt w:val="bullet"/>
      <w:lvlText w:val="o"/>
      <w:lvlJc w:val="left"/>
      <w:pPr>
        <w:ind w:left="4451" w:hanging="360"/>
      </w:pPr>
      <w:rPr>
        <w:rFonts w:ascii="Courier New" w:hAnsi="Courier New" w:cs="Courier New" w:hint="default"/>
      </w:rPr>
    </w:lvl>
    <w:lvl w:ilvl="5" w:tplc="240A0005">
      <w:start w:val="1"/>
      <w:numFmt w:val="bullet"/>
      <w:lvlText w:val=""/>
      <w:lvlJc w:val="left"/>
      <w:pPr>
        <w:ind w:left="5171" w:hanging="360"/>
      </w:pPr>
      <w:rPr>
        <w:rFonts w:ascii="Wingdings" w:hAnsi="Wingdings" w:hint="default"/>
      </w:rPr>
    </w:lvl>
    <w:lvl w:ilvl="6" w:tplc="240A0001">
      <w:start w:val="1"/>
      <w:numFmt w:val="bullet"/>
      <w:lvlText w:val=""/>
      <w:lvlJc w:val="left"/>
      <w:pPr>
        <w:ind w:left="5891" w:hanging="360"/>
      </w:pPr>
      <w:rPr>
        <w:rFonts w:ascii="Symbol" w:hAnsi="Symbol" w:hint="default"/>
      </w:rPr>
    </w:lvl>
    <w:lvl w:ilvl="7" w:tplc="240A0003">
      <w:start w:val="1"/>
      <w:numFmt w:val="bullet"/>
      <w:lvlText w:val="o"/>
      <w:lvlJc w:val="left"/>
      <w:pPr>
        <w:ind w:left="6611" w:hanging="360"/>
      </w:pPr>
      <w:rPr>
        <w:rFonts w:ascii="Courier New" w:hAnsi="Courier New" w:cs="Courier New" w:hint="default"/>
      </w:rPr>
    </w:lvl>
    <w:lvl w:ilvl="8" w:tplc="240A0005">
      <w:start w:val="1"/>
      <w:numFmt w:val="bullet"/>
      <w:lvlText w:val=""/>
      <w:lvlJc w:val="left"/>
      <w:pPr>
        <w:ind w:left="7331" w:hanging="360"/>
      </w:pPr>
      <w:rPr>
        <w:rFonts w:ascii="Wingdings" w:hAnsi="Wingdings" w:hint="default"/>
      </w:rPr>
    </w:lvl>
  </w:abstractNum>
  <w:abstractNum w:abstractNumId="18" w15:restartNumberingAfterBreak="0">
    <w:nsid w:val="5B7301A7"/>
    <w:multiLevelType w:val="hybridMultilevel"/>
    <w:tmpl w:val="09403D2A"/>
    <w:lvl w:ilvl="0" w:tplc="D2083A9C">
      <w:start w:val="1"/>
      <w:numFmt w:val="lowerLetter"/>
      <w:lvlText w:val="%1."/>
      <w:lvlJc w:val="left"/>
      <w:pPr>
        <w:ind w:left="1065" w:hanging="360"/>
      </w:pPr>
      <w:rPr>
        <w:rFonts w:ascii="Century Gothic" w:hAnsi="Century Gothic" w:hint="default"/>
        <w:sz w:val="22"/>
        <w:szCs w:val="22"/>
      </w:rPr>
    </w:lvl>
    <w:lvl w:ilvl="1" w:tplc="240A0001">
      <w:start w:val="1"/>
      <w:numFmt w:val="bullet"/>
      <w:lvlText w:val=""/>
      <w:lvlJc w:val="left"/>
      <w:pPr>
        <w:ind w:left="1785" w:hanging="360"/>
      </w:pPr>
      <w:rPr>
        <w:rFonts w:ascii="Symbol" w:hAnsi="Symbol" w:hint="default"/>
      </w:rPr>
    </w:lvl>
    <w:lvl w:ilvl="2" w:tplc="02EA3708">
      <w:start w:val="2018"/>
      <w:numFmt w:val="decimal"/>
      <w:lvlText w:val="%3)"/>
      <w:lvlJc w:val="left"/>
      <w:pPr>
        <w:ind w:left="2685" w:hanging="360"/>
      </w:pPr>
      <w:rPr>
        <w:i/>
      </w:rPr>
    </w:lvl>
    <w:lvl w:ilvl="3" w:tplc="81E0FE42">
      <w:numFmt w:val="bullet"/>
      <w:lvlText w:val="-"/>
      <w:lvlJc w:val="left"/>
      <w:pPr>
        <w:ind w:left="3225" w:hanging="360"/>
      </w:pPr>
      <w:rPr>
        <w:rFonts w:ascii="Verdana" w:eastAsia="Times New Roman" w:hAnsi="Verdana" w:cs="Times New Roman" w:hint="default"/>
      </w:rPr>
    </w:lvl>
    <w:lvl w:ilvl="4" w:tplc="C8F4B424">
      <w:start w:val="2"/>
      <w:numFmt w:val="decimal"/>
      <w:lvlText w:val="%5."/>
      <w:lvlJc w:val="left"/>
      <w:pPr>
        <w:ind w:left="3945" w:hanging="360"/>
      </w:pPr>
    </w:lvl>
    <w:lvl w:ilvl="5" w:tplc="240A001B">
      <w:start w:val="1"/>
      <w:numFmt w:val="lowerRoman"/>
      <w:lvlText w:val="%6."/>
      <w:lvlJc w:val="right"/>
      <w:pPr>
        <w:ind w:left="4665" w:hanging="180"/>
      </w:pPr>
    </w:lvl>
    <w:lvl w:ilvl="6" w:tplc="240A000F">
      <w:start w:val="1"/>
      <w:numFmt w:val="decimal"/>
      <w:lvlText w:val="%7."/>
      <w:lvlJc w:val="left"/>
      <w:pPr>
        <w:ind w:left="5385" w:hanging="360"/>
      </w:pPr>
    </w:lvl>
    <w:lvl w:ilvl="7" w:tplc="240A0019">
      <w:start w:val="1"/>
      <w:numFmt w:val="lowerLetter"/>
      <w:lvlText w:val="%8."/>
      <w:lvlJc w:val="left"/>
      <w:pPr>
        <w:ind w:left="6105" w:hanging="360"/>
      </w:pPr>
    </w:lvl>
    <w:lvl w:ilvl="8" w:tplc="240A001B">
      <w:start w:val="1"/>
      <w:numFmt w:val="lowerRoman"/>
      <w:lvlText w:val="%9."/>
      <w:lvlJc w:val="right"/>
      <w:pPr>
        <w:ind w:left="6825" w:hanging="180"/>
      </w:pPr>
    </w:lvl>
  </w:abstractNum>
  <w:abstractNum w:abstractNumId="19" w15:restartNumberingAfterBreak="0">
    <w:nsid w:val="5ED149C4"/>
    <w:multiLevelType w:val="hybridMultilevel"/>
    <w:tmpl w:val="00787AC0"/>
    <w:lvl w:ilvl="0" w:tplc="040A0001">
      <w:start w:val="1"/>
      <w:numFmt w:val="bullet"/>
      <w:lvlText w:val=""/>
      <w:lvlJc w:val="left"/>
      <w:pPr>
        <w:ind w:left="1429" w:hanging="360"/>
      </w:pPr>
      <w:rPr>
        <w:rFonts w:ascii="Symbol" w:hAnsi="Symbol"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20" w15:restartNumberingAfterBreak="0">
    <w:nsid w:val="60671DEA"/>
    <w:multiLevelType w:val="hybridMultilevel"/>
    <w:tmpl w:val="B8EA60D8"/>
    <w:lvl w:ilvl="0" w:tplc="240A000B">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1" w15:restartNumberingAfterBreak="0">
    <w:nsid w:val="62F637BC"/>
    <w:multiLevelType w:val="hybridMultilevel"/>
    <w:tmpl w:val="DDB4DE6A"/>
    <w:lvl w:ilvl="0" w:tplc="040A0005">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2" w15:restartNumberingAfterBreak="0">
    <w:nsid w:val="6ADF36F1"/>
    <w:multiLevelType w:val="hybridMultilevel"/>
    <w:tmpl w:val="6B981DF2"/>
    <w:lvl w:ilvl="0" w:tplc="040A0005">
      <w:start w:val="1"/>
      <w:numFmt w:val="bullet"/>
      <w:lvlText w:val=""/>
      <w:lvlJc w:val="left"/>
      <w:pPr>
        <w:ind w:left="1428" w:hanging="360"/>
      </w:pPr>
      <w:rPr>
        <w:rFonts w:ascii="Wingdings" w:hAnsi="Wingdings"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23" w15:restartNumberingAfterBreak="0">
    <w:nsid w:val="744248A4"/>
    <w:multiLevelType w:val="hybridMultilevel"/>
    <w:tmpl w:val="0F4C49FC"/>
    <w:lvl w:ilvl="0" w:tplc="240A0001">
      <w:start w:val="1"/>
      <w:numFmt w:val="bullet"/>
      <w:lvlText w:val=""/>
      <w:lvlJc w:val="left"/>
      <w:pPr>
        <w:ind w:left="1571" w:hanging="360"/>
      </w:pPr>
      <w:rPr>
        <w:rFonts w:ascii="Symbol" w:hAnsi="Symbol" w:hint="default"/>
      </w:rPr>
    </w:lvl>
    <w:lvl w:ilvl="1" w:tplc="240A0003">
      <w:start w:val="1"/>
      <w:numFmt w:val="bullet"/>
      <w:lvlText w:val="o"/>
      <w:lvlJc w:val="left"/>
      <w:pPr>
        <w:ind w:left="2291" w:hanging="360"/>
      </w:pPr>
      <w:rPr>
        <w:rFonts w:ascii="Courier New" w:hAnsi="Courier New" w:cs="Courier New" w:hint="default"/>
      </w:rPr>
    </w:lvl>
    <w:lvl w:ilvl="2" w:tplc="240A0005">
      <w:start w:val="1"/>
      <w:numFmt w:val="bullet"/>
      <w:lvlText w:val=""/>
      <w:lvlJc w:val="left"/>
      <w:pPr>
        <w:ind w:left="3011" w:hanging="360"/>
      </w:pPr>
      <w:rPr>
        <w:rFonts w:ascii="Wingdings" w:hAnsi="Wingdings" w:hint="default"/>
      </w:rPr>
    </w:lvl>
    <w:lvl w:ilvl="3" w:tplc="240A0001">
      <w:start w:val="1"/>
      <w:numFmt w:val="bullet"/>
      <w:lvlText w:val=""/>
      <w:lvlJc w:val="left"/>
      <w:pPr>
        <w:ind w:left="3731" w:hanging="360"/>
      </w:pPr>
      <w:rPr>
        <w:rFonts w:ascii="Symbol" w:hAnsi="Symbol" w:hint="default"/>
      </w:rPr>
    </w:lvl>
    <w:lvl w:ilvl="4" w:tplc="240A0003">
      <w:start w:val="1"/>
      <w:numFmt w:val="bullet"/>
      <w:lvlText w:val="o"/>
      <w:lvlJc w:val="left"/>
      <w:pPr>
        <w:ind w:left="4451" w:hanging="360"/>
      </w:pPr>
      <w:rPr>
        <w:rFonts w:ascii="Courier New" w:hAnsi="Courier New" w:cs="Courier New" w:hint="default"/>
      </w:rPr>
    </w:lvl>
    <w:lvl w:ilvl="5" w:tplc="240A0005">
      <w:start w:val="1"/>
      <w:numFmt w:val="bullet"/>
      <w:lvlText w:val=""/>
      <w:lvlJc w:val="left"/>
      <w:pPr>
        <w:ind w:left="5171" w:hanging="360"/>
      </w:pPr>
      <w:rPr>
        <w:rFonts w:ascii="Wingdings" w:hAnsi="Wingdings" w:hint="default"/>
      </w:rPr>
    </w:lvl>
    <w:lvl w:ilvl="6" w:tplc="240A0001">
      <w:start w:val="1"/>
      <w:numFmt w:val="bullet"/>
      <w:lvlText w:val=""/>
      <w:lvlJc w:val="left"/>
      <w:pPr>
        <w:ind w:left="5891" w:hanging="360"/>
      </w:pPr>
      <w:rPr>
        <w:rFonts w:ascii="Symbol" w:hAnsi="Symbol" w:hint="default"/>
      </w:rPr>
    </w:lvl>
    <w:lvl w:ilvl="7" w:tplc="240A0003">
      <w:start w:val="1"/>
      <w:numFmt w:val="bullet"/>
      <w:lvlText w:val="o"/>
      <w:lvlJc w:val="left"/>
      <w:pPr>
        <w:ind w:left="6611" w:hanging="360"/>
      </w:pPr>
      <w:rPr>
        <w:rFonts w:ascii="Courier New" w:hAnsi="Courier New" w:cs="Courier New" w:hint="default"/>
      </w:rPr>
    </w:lvl>
    <w:lvl w:ilvl="8" w:tplc="240A0005">
      <w:start w:val="1"/>
      <w:numFmt w:val="bullet"/>
      <w:lvlText w:val=""/>
      <w:lvlJc w:val="left"/>
      <w:pPr>
        <w:ind w:left="7331" w:hanging="360"/>
      </w:pPr>
      <w:rPr>
        <w:rFonts w:ascii="Wingdings" w:hAnsi="Wingdings" w:hint="default"/>
      </w:rPr>
    </w:lvl>
  </w:abstractNum>
  <w:abstractNum w:abstractNumId="24" w15:restartNumberingAfterBreak="0">
    <w:nsid w:val="79534811"/>
    <w:multiLevelType w:val="hybridMultilevel"/>
    <w:tmpl w:val="46F8E88A"/>
    <w:lvl w:ilvl="0" w:tplc="4846222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28700422">
    <w:abstractNumId w:val="8"/>
  </w:num>
  <w:num w:numId="2" w16cid:durableId="182863640">
    <w:abstractNumId w:val="24"/>
  </w:num>
  <w:num w:numId="3" w16cid:durableId="1741757146">
    <w:abstractNumId w:val="9"/>
  </w:num>
  <w:num w:numId="4" w16cid:durableId="1129856870">
    <w:abstractNumId w:val="21"/>
  </w:num>
  <w:num w:numId="5" w16cid:durableId="1648166139">
    <w:abstractNumId w:val="4"/>
  </w:num>
  <w:num w:numId="6" w16cid:durableId="1803189779">
    <w:abstractNumId w:val="20"/>
  </w:num>
  <w:num w:numId="7" w16cid:durableId="1422873813">
    <w:abstractNumId w:val="14"/>
  </w:num>
  <w:num w:numId="8" w16cid:durableId="1880510906">
    <w:abstractNumId w:val="18"/>
  </w:num>
  <w:num w:numId="9" w16cid:durableId="1025667037">
    <w:abstractNumId w:val="1"/>
  </w:num>
  <w:num w:numId="10" w16cid:durableId="1790589694">
    <w:abstractNumId w:val="6"/>
  </w:num>
  <w:num w:numId="11" w16cid:durableId="1607300636">
    <w:abstractNumId w:val="23"/>
  </w:num>
  <w:num w:numId="12" w16cid:durableId="2110546006">
    <w:abstractNumId w:val="16"/>
  </w:num>
  <w:num w:numId="13" w16cid:durableId="1020085103">
    <w:abstractNumId w:val="11"/>
  </w:num>
  <w:num w:numId="14" w16cid:durableId="1019089935">
    <w:abstractNumId w:val="22"/>
  </w:num>
  <w:num w:numId="15" w16cid:durableId="370958629">
    <w:abstractNumId w:val="19"/>
  </w:num>
  <w:num w:numId="16" w16cid:durableId="1333607813">
    <w:abstractNumId w:val="7"/>
  </w:num>
  <w:num w:numId="17" w16cid:durableId="532183964">
    <w:abstractNumId w:val="15"/>
  </w:num>
  <w:num w:numId="18" w16cid:durableId="4890997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8017721">
    <w:abstractNumId w:val="13"/>
  </w:num>
  <w:num w:numId="20" w16cid:durableId="684524443">
    <w:abstractNumId w:val="17"/>
  </w:num>
  <w:num w:numId="21" w16cid:durableId="911744021">
    <w:abstractNumId w:val="2"/>
  </w:num>
  <w:num w:numId="22" w16cid:durableId="100151918">
    <w:abstractNumId w:val="0"/>
  </w:num>
  <w:num w:numId="23" w16cid:durableId="1743138716">
    <w:abstractNumId w:val="5"/>
  </w:num>
  <w:num w:numId="24" w16cid:durableId="643510558">
    <w:abstractNumId w:val="10"/>
  </w:num>
  <w:num w:numId="25" w16cid:durableId="9047539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13C"/>
    <w:rsid w:val="00001EB9"/>
    <w:rsid w:val="00002434"/>
    <w:rsid w:val="000028E1"/>
    <w:rsid w:val="0000618F"/>
    <w:rsid w:val="0000639E"/>
    <w:rsid w:val="00007400"/>
    <w:rsid w:val="00007C7C"/>
    <w:rsid w:val="0001111D"/>
    <w:rsid w:val="00011446"/>
    <w:rsid w:val="00012D3C"/>
    <w:rsid w:val="000139C8"/>
    <w:rsid w:val="000152BA"/>
    <w:rsid w:val="0002124B"/>
    <w:rsid w:val="00022C79"/>
    <w:rsid w:val="000238EA"/>
    <w:rsid w:val="00023FCF"/>
    <w:rsid w:val="00026B41"/>
    <w:rsid w:val="00026F93"/>
    <w:rsid w:val="0002771F"/>
    <w:rsid w:val="00031558"/>
    <w:rsid w:val="0003257D"/>
    <w:rsid w:val="00032D14"/>
    <w:rsid w:val="0003454E"/>
    <w:rsid w:val="00040A73"/>
    <w:rsid w:val="00041525"/>
    <w:rsid w:val="00042487"/>
    <w:rsid w:val="00043643"/>
    <w:rsid w:val="00044B6D"/>
    <w:rsid w:val="000541E0"/>
    <w:rsid w:val="00056237"/>
    <w:rsid w:val="000640A9"/>
    <w:rsid w:val="0006566F"/>
    <w:rsid w:val="0007350D"/>
    <w:rsid w:val="00073BE4"/>
    <w:rsid w:val="0007493B"/>
    <w:rsid w:val="00074A54"/>
    <w:rsid w:val="00074E53"/>
    <w:rsid w:val="00077997"/>
    <w:rsid w:val="00077F6E"/>
    <w:rsid w:val="000802BB"/>
    <w:rsid w:val="00081D40"/>
    <w:rsid w:val="000826F4"/>
    <w:rsid w:val="00085830"/>
    <w:rsid w:val="00086BD3"/>
    <w:rsid w:val="00087A1D"/>
    <w:rsid w:val="000923A7"/>
    <w:rsid w:val="00095474"/>
    <w:rsid w:val="000970FC"/>
    <w:rsid w:val="000A05EC"/>
    <w:rsid w:val="000A1729"/>
    <w:rsid w:val="000A2EC5"/>
    <w:rsid w:val="000A50D3"/>
    <w:rsid w:val="000A600E"/>
    <w:rsid w:val="000A6F4D"/>
    <w:rsid w:val="000A7DA4"/>
    <w:rsid w:val="000B088F"/>
    <w:rsid w:val="000B0DBD"/>
    <w:rsid w:val="000B1254"/>
    <w:rsid w:val="000B2B3C"/>
    <w:rsid w:val="000B5571"/>
    <w:rsid w:val="000B6BE2"/>
    <w:rsid w:val="000C2A3E"/>
    <w:rsid w:val="000C302A"/>
    <w:rsid w:val="000C4623"/>
    <w:rsid w:val="000C4763"/>
    <w:rsid w:val="000C49B2"/>
    <w:rsid w:val="000C503C"/>
    <w:rsid w:val="000C5472"/>
    <w:rsid w:val="000C57BB"/>
    <w:rsid w:val="000C62E8"/>
    <w:rsid w:val="000C6B51"/>
    <w:rsid w:val="000D24F5"/>
    <w:rsid w:val="000D2CCD"/>
    <w:rsid w:val="000D3245"/>
    <w:rsid w:val="000D45D7"/>
    <w:rsid w:val="000E0157"/>
    <w:rsid w:val="000E0C5E"/>
    <w:rsid w:val="000E1253"/>
    <w:rsid w:val="000E2756"/>
    <w:rsid w:val="000E4737"/>
    <w:rsid w:val="000E57B0"/>
    <w:rsid w:val="000F09C6"/>
    <w:rsid w:val="000F0B87"/>
    <w:rsid w:val="000F0DA6"/>
    <w:rsid w:val="000F1B13"/>
    <w:rsid w:val="000F21CE"/>
    <w:rsid w:val="000F2932"/>
    <w:rsid w:val="000F2FE7"/>
    <w:rsid w:val="000F5E90"/>
    <w:rsid w:val="000F7B4E"/>
    <w:rsid w:val="0010013C"/>
    <w:rsid w:val="00101892"/>
    <w:rsid w:val="001032BF"/>
    <w:rsid w:val="00106EE7"/>
    <w:rsid w:val="00107D7D"/>
    <w:rsid w:val="00112C40"/>
    <w:rsid w:val="001159BA"/>
    <w:rsid w:val="0012070D"/>
    <w:rsid w:val="00120B54"/>
    <w:rsid w:val="00120CA5"/>
    <w:rsid w:val="0012125B"/>
    <w:rsid w:val="00121EBA"/>
    <w:rsid w:val="00124870"/>
    <w:rsid w:val="00124C2A"/>
    <w:rsid w:val="00124E1C"/>
    <w:rsid w:val="00126284"/>
    <w:rsid w:val="001262F3"/>
    <w:rsid w:val="00126B4C"/>
    <w:rsid w:val="00131AD3"/>
    <w:rsid w:val="001326AF"/>
    <w:rsid w:val="00140E54"/>
    <w:rsid w:val="00141F76"/>
    <w:rsid w:val="00145387"/>
    <w:rsid w:val="00146228"/>
    <w:rsid w:val="00146A9A"/>
    <w:rsid w:val="001476EF"/>
    <w:rsid w:val="001519EB"/>
    <w:rsid w:val="00152DAF"/>
    <w:rsid w:val="0015357B"/>
    <w:rsid w:val="0015364E"/>
    <w:rsid w:val="001551A4"/>
    <w:rsid w:val="001555C2"/>
    <w:rsid w:val="00160CF8"/>
    <w:rsid w:val="00163106"/>
    <w:rsid w:val="0016396A"/>
    <w:rsid w:val="00164048"/>
    <w:rsid w:val="00164A6C"/>
    <w:rsid w:val="001667A4"/>
    <w:rsid w:val="00166BA9"/>
    <w:rsid w:val="00167053"/>
    <w:rsid w:val="001675E1"/>
    <w:rsid w:val="00170604"/>
    <w:rsid w:val="001706E8"/>
    <w:rsid w:val="00172534"/>
    <w:rsid w:val="00172A20"/>
    <w:rsid w:val="00172D17"/>
    <w:rsid w:val="00180566"/>
    <w:rsid w:val="00183921"/>
    <w:rsid w:val="001850AB"/>
    <w:rsid w:val="001856C1"/>
    <w:rsid w:val="00186242"/>
    <w:rsid w:val="00186E55"/>
    <w:rsid w:val="00187345"/>
    <w:rsid w:val="001907B7"/>
    <w:rsid w:val="00190DC3"/>
    <w:rsid w:val="0019204A"/>
    <w:rsid w:val="0019274D"/>
    <w:rsid w:val="00192E19"/>
    <w:rsid w:val="00193D80"/>
    <w:rsid w:val="0019580D"/>
    <w:rsid w:val="001A37E2"/>
    <w:rsid w:val="001A615C"/>
    <w:rsid w:val="001A70A1"/>
    <w:rsid w:val="001B01A0"/>
    <w:rsid w:val="001B075C"/>
    <w:rsid w:val="001B2588"/>
    <w:rsid w:val="001B25C7"/>
    <w:rsid w:val="001B2C62"/>
    <w:rsid w:val="001B35F0"/>
    <w:rsid w:val="001B4967"/>
    <w:rsid w:val="001B6DB1"/>
    <w:rsid w:val="001B7E0B"/>
    <w:rsid w:val="001C3510"/>
    <w:rsid w:val="001C3B4F"/>
    <w:rsid w:val="001C5BB6"/>
    <w:rsid w:val="001C6400"/>
    <w:rsid w:val="001D0AE5"/>
    <w:rsid w:val="001D2D7F"/>
    <w:rsid w:val="001D2D92"/>
    <w:rsid w:val="001D4808"/>
    <w:rsid w:val="001D600C"/>
    <w:rsid w:val="001D736F"/>
    <w:rsid w:val="001E0BAA"/>
    <w:rsid w:val="001E3E8F"/>
    <w:rsid w:val="001E414C"/>
    <w:rsid w:val="001E422B"/>
    <w:rsid w:val="001E5FB0"/>
    <w:rsid w:val="001E7053"/>
    <w:rsid w:val="001F0885"/>
    <w:rsid w:val="001F0C8E"/>
    <w:rsid w:val="001F0E33"/>
    <w:rsid w:val="001F425D"/>
    <w:rsid w:val="00201054"/>
    <w:rsid w:val="00205100"/>
    <w:rsid w:val="002110FD"/>
    <w:rsid w:val="0022088B"/>
    <w:rsid w:val="00221148"/>
    <w:rsid w:val="002218C8"/>
    <w:rsid w:val="002219E1"/>
    <w:rsid w:val="00225434"/>
    <w:rsid w:val="00225B46"/>
    <w:rsid w:val="00226389"/>
    <w:rsid w:val="00226BDB"/>
    <w:rsid w:val="0023456F"/>
    <w:rsid w:val="00234B08"/>
    <w:rsid w:val="00235577"/>
    <w:rsid w:val="00235E34"/>
    <w:rsid w:val="00235FCE"/>
    <w:rsid w:val="0023755C"/>
    <w:rsid w:val="00237EBE"/>
    <w:rsid w:val="002416E3"/>
    <w:rsid w:val="00242CE5"/>
    <w:rsid w:val="0024409D"/>
    <w:rsid w:val="00244EB4"/>
    <w:rsid w:val="00247027"/>
    <w:rsid w:val="00247650"/>
    <w:rsid w:val="00251855"/>
    <w:rsid w:val="00252488"/>
    <w:rsid w:val="002524EC"/>
    <w:rsid w:val="00255247"/>
    <w:rsid w:val="0025676F"/>
    <w:rsid w:val="002569E7"/>
    <w:rsid w:val="002604E2"/>
    <w:rsid w:val="00260A2C"/>
    <w:rsid w:val="00260D0B"/>
    <w:rsid w:val="00261BDD"/>
    <w:rsid w:val="00262DDC"/>
    <w:rsid w:val="002643DF"/>
    <w:rsid w:val="002648A5"/>
    <w:rsid w:val="00265773"/>
    <w:rsid w:val="00266497"/>
    <w:rsid w:val="00267AD1"/>
    <w:rsid w:val="00271659"/>
    <w:rsid w:val="00274246"/>
    <w:rsid w:val="002757D5"/>
    <w:rsid w:val="002765AF"/>
    <w:rsid w:val="00276777"/>
    <w:rsid w:val="00283550"/>
    <w:rsid w:val="00283601"/>
    <w:rsid w:val="0028394F"/>
    <w:rsid w:val="00283E4B"/>
    <w:rsid w:val="00287652"/>
    <w:rsid w:val="00290571"/>
    <w:rsid w:val="002923CE"/>
    <w:rsid w:val="00292B6B"/>
    <w:rsid w:val="00292B90"/>
    <w:rsid w:val="002939D8"/>
    <w:rsid w:val="002A231C"/>
    <w:rsid w:val="002A2958"/>
    <w:rsid w:val="002A388E"/>
    <w:rsid w:val="002A40A8"/>
    <w:rsid w:val="002A493B"/>
    <w:rsid w:val="002A557F"/>
    <w:rsid w:val="002A7F8B"/>
    <w:rsid w:val="002B2420"/>
    <w:rsid w:val="002B5659"/>
    <w:rsid w:val="002B636E"/>
    <w:rsid w:val="002B6940"/>
    <w:rsid w:val="002C099F"/>
    <w:rsid w:val="002C18C4"/>
    <w:rsid w:val="002C1FB9"/>
    <w:rsid w:val="002C531C"/>
    <w:rsid w:val="002C5A3E"/>
    <w:rsid w:val="002D124E"/>
    <w:rsid w:val="002D1576"/>
    <w:rsid w:val="002D2BD0"/>
    <w:rsid w:val="002D67FC"/>
    <w:rsid w:val="002E3259"/>
    <w:rsid w:val="002E46FF"/>
    <w:rsid w:val="002E53EF"/>
    <w:rsid w:val="002E57EF"/>
    <w:rsid w:val="002E6D7F"/>
    <w:rsid w:val="002E7B8E"/>
    <w:rsid w:val="002E7D46"/>
    <w:rsid w:val="002E7DAB"/>
    <w:rsid w:val="002F01BE"/>
    <w:rsid w:val="002F1551"/>
    <w:rsid w:val="002F1579"/>
    <w:rsid w:val="002F4649"/>
    <w:rsid w:val="002F4E82"/>
    <w:rsid w:val="00301870"/>
    <w:rsid w:val="00302AFE"/>
    <w:rsid w:val="00303E90"/>
    <w:rsid w:val="003043E9"/>
    <w:rsid w:val="0030577F"/>
    <w:rsid w:val="00305E8B"/>
    <w:rsid w:val="00305F73"/>
    <w:rsid w:val="00306885"/>
    <w:rsid w:val="0031006F"/>
    <w:rsid w:val="003138EA"/>
    <w:rsid w:val="00313D71"/>
    <w:rsid w:val="00321415"/>
    <w:rsid w:val="003225FD"/>
    <w:rsid w:val="00322EBF"/>
    <w:rsid w:val="00326549"/>
    <w:rsid w:val="00333167"/>
    <w:rsid w:val="003341B4"/>
    <w:rsid w:val="00334403"/>
    <w:rsid w:val="003357DE"/>
    <w:rsid w:val="0033686D"/>
    <w:rsid w:val="00336963"/>
    <w:rsid w:val="00337BC0"/>
    <w:rsid w:val="00343610"/>
    <w:rsid w:val="00343DE5"/>
    <w:rsid w:val="00344A5E"/>
    <w:rsid w:val="003461B8"/>
    <w:rsid w:val="0034648C"/>
    <w:rsid w:val="00347B4E"/>
    <w:rsid w:val="003521ED"/>
    <w:rsid w:val="00356E30"/>
    <w:rsid w:val="003577BE"/>
    <w:rsid w:val="00366A2F"/>
    <w:rsid w:val="00367AA4"/>
    <w:rsid w:val="003706D2"/>
    <w:rsid w:val="0037366C"/>
    <w:rsid w:val="003768BE"/>
    <w:rsid w:val="00377CA3"/>
    <w:rsid w:val="00377D9C"/>
    <w:rsid w:val="00382987"/>
    <w:rsid w:val="00386ECF"/>
    <w:rsid w:val="003873D0"/>
    <w:rsid w:val="003879E1"/>
    <w:rsid w:val="00390C9B"/>
    <w:rsid w:val="00390F16"/>
    <w:rsid w:val="00392623"/>
    <w:rsid w:val="0039268A"/>
    <w:rsid w:val="00392DAD"/>
    <w:rsid w:val="00397064"/>
    <w:rsid w:val="003A1212"/>
    <w:rsid w:val="003A2B8C"/>
    <w:rsid w:val="003A5073"/>
    <w:rsid w:val="003B17F0"/>
    <w:rsid w:val="003B280D"/>
    <w:rsid w:val="003B28F1"/>
    <w:rsid w:val="003B3B38"/>
    <w:rsid w:val="003B3BE0"/>
    <w:rsid w:val="003B4A4C"/>
    <w:rsid w:val="003B7A34"/>
    <w:rsid w:val="003C11AA"/>
    <w:rsid w:val="003C49BC"/>
    <w:rsid w:val="003C543C"/>
    <w:rsid w:val="003C5A60"/>
    <w:rsid w:val="003D07F2"/>
    <w:rsid w:val="003D0C35"/>
    <w:rsid w:val="003D1BE2"/>
    <w:rsid w:val="003D289B"/>
    <w:rsid w:val="003D374E"/>
    <w:rsid w:val="003D70F1"/>
    <w:rsid w:val="003D7E4E"/>
    <w:rsid w:val="003E0510"/>
    <w:rsid w:val="003E1C1F"/>
    <w:rsid w:val="003E2E1F"/>
    <w:rsid w:val="003E2F1E"/>
    <w:rsid w:val="003E50DB"/>
    <w:rsid w:val="003E7F27"/>
    <w:rsid w:val="003F1EE1"/>
    <w:rsid w:val="003F22D9"/>
    <w:rsid w:val="003F29EA"/>
    <w:rsid w:val="003F39AE"/>
    <w:rsid w:val="003F3D14"/>
    <w:rsid w:val="003F5780"/>
    <w:rsid w:val="003F57B0"/>
    <w:rsid w:val="003F5C9E"/>
    <w:rsid w:val="003F69D6"/>
    <w:rsid w:val="00401EA4"/>
    <w:rsid w:val="004024AE"/>
    <w:rsid w:val="00402673"/>
    <w:rsid w:val="00404A80"/>
    <w:rsid w:val="00406F66"/>
    <w:rsid w:val="00411CCE"/>
    <w:rsid w:val="00411F9F"/>
    <w:rsid w:val="00412150"/>
    <w:rsid w:val="00414471"/>
    <w:rsid w:val="00414B81"/>
    <w:rsid w:val="0042090A"/>
    <w:rsid w:val="004241EC"/>
    <w:rsid w:val="00424789"/>
    <w:rsid w:val="00424C74"/>
    <w:rsid w:val="00426C2F"/>
    <w:rsid w:val="00427CDD"/>
    <w:rsid w:val="004319E2"/>
    <w:rsid w:val="00432CA3"/>
    <w:rsid w:val="00435E04"/>
    <w:rsid w:val="00436E16"/>
    <w:rsid w:val="00437C6D"/>
    <w:rsid w:val="00443158"/>
    <w:rsid w:val="00446476"/>
    <w:rsid w:val="0045095B"/>
    <w:rsid w:val="004556C8"/>
    <w:rsid w:val="00455F34"/>
    <w:rsid w:val="0045605E"/>
    <w:rsid w:val="004619D0"/>
    <w:rsid w:val="00464139"/>
    <w:rsid w:val="00465B4F"/>
    <w:rsid w:val="00472FFF"/>
    <w:rsid w:val="00474C03"/>
    <w:rsid w:val="00474F42"/>
    <w:rsid w:val="00475B20"/>
    <w:rsid w:val="00482456"/>
    <w:rsid w:val="00483B77"/>
    <w:rsid w:val="00486015"/>
    <w:rsid w:val="004868F9"/>
    <w:rsid w:val="004902B4"/>
    <w:rsid w:val="00492229"/>
    <w:rsid w:val="00492B5B"/>
    <w:rsid w:val="00493423"/>
    <w:rsid w:val="0049790E"/>
    <w:rsid w:val="004A4A22"/>
    <w:rsid w:val="004B01AC"/>
    <w:rsid w:val="004B207A"/>
    <w:rsid w:val="004B6773"/>
    <w:rsid w:val="004C0561"/>
    <w:rsid w:val="004C1285"/>
    <w:rsid w:val="004C5C75"/>
    <w:rsid w:val="004C6FDE"/>
    <w:rsid w:val="004D5E79"/>
    <w:rsid w:val="004E07A6"/>
    <w:rsid w:val="004E0AB2"/>
    <w:rsid w:val="004E6000"/>
    <w:rsid w:val="004E6ADD"/>
    <w:rsid w:val="004F1555"/>
    <w:rsid w:val="004F2A78"/>
    <w:rsid w:val="004F5FA2"/>
    <w:rsid w:val="004F6C28"/>
    <w:rsid w:val="004F71DF"/>
    <w:rsid w:val="004F7FAD"/>
    <w:rsid w:val="00501B29"/>
    <w:rsid w:val="00504DA1"/>
    <w:rsid w:val="005126AF"/>
    <w:rsid w:val="00512E9E"/>
    <w:rsid w:val="00512EAC"/>
    <w:rsid w:val="00514304"/>
    <w:rsid w:val="0051536B"/>
    <w:rsid w:val="0051635D"/>
    <w:rsid w:val="00520393"/>
    <w:rsid w:val="005215C1"/>
    <w:rsid w:val="00523169"/>
    <w:rsid w:val="00523AC3"/>
    <w:rsid w:val="00524599"/>
    <w:rsid w:val="00525447"/>
    <w:rsid w:val="00530EBE"/>
    <w:rsid w:val="00531C60"/>
    <w:rsid w:val="00531C8A"/>
    <w:rsid w:val="0053553E"/>
    <w:rsid w:val="00535686"/>
    <w:rsid w:val="0053727D"/>
    <w:rsid w:val="005411BD"/>
    <w:rsid w:val="00543729"/>
    <w:rsid w:val="005437BC"/>
    <w:rsid w:val="00545DBC"/>
    <w:rsid w:val="00546032"/>
    <w:rsid w:val="00546FB4"/>
    <w:rsid w:val="005521B2"/>
    <w:rsid w:val="005523AC"/>
    <w:rsid w:val="00556B3A"/>
    <w:rsid w:val="00557A66"/>
    <w:rsid w:val="0056523D"/>
    <w:rsid w:val="005673FC"/>
    <w:rsid w:val="00567967"/>
    <w:rsid w:val="00567F27"/>
    <w:rsid w:val="00572762"/>
    <w:rsid w:val="0057383E"/>
    <w:rsid w:val="00573B08"/>
    <w:rsid w:val="00575781"/>
    <w:rsid w:val="0057578D"/>
    <w:rsid w:val="005764DE"/>
    <w:rsid w:val="005775B5"/>
    <w:rsid w:val="005805B2"/>
    <w:rsid w:val="00582169"/>
    <w:rsid w:val="005824EF"/>
    <w:rsid w:val="00586B2F"/>
    <w:rsid w:val="00592057"/>
    <w:rsid w:val="005924F6"/>
    <w:rsid w:val="005938A8"/>
    <w:rsid w:val="005A00D7"/>
    <w:rsid w:val="005A143F"/>
    <w:rsid w:val="005A1D2C"/>
    <w:rsid w:val="005A2607"/>
    <w:rsid w:val="005A292D"/>
    <w:rsid w:val="005A3D18"/>
    <w:rsid w:val="005B458A"/>
    <w:rsid w:val="005B4779"/>
    <w:rsid w:val="005B7D15"/>
    <w:rsid w:val="005C1424"/>
    <w:rsid w:val="005C2B83"/>
    <w:rsid w:val="005C41ED"/>
    <w:rsid w:val="005D01DC"/>
    <w:rsid w:val="005D323D"/>
    <w:rsid w:val="005D5A58"/>
    <w:rsid w:val="005D619D"/>
    <w:rsid w:val="005D72DF"/>
    <w:rsid w:val="005D7DDE"/>
    <w:rsid w:val="005E3586"/>
    <w:rsid w:val="005E36A8"/>
    <w:rsid w:val="005E5216"/>
    <w:rsid w:val="005E7E41"/>
    <w:rsid w:val="005F0434"/>
    <w:rsid w:val="005F06EF"/>
    <w:rsid w:val="005F4291"/>
    <w:rsid w:val="005F4E8E"/>
    <w:rsid w:val="005F63A0"/>
    <w:rsid w:val="005F7BBA"/>
    <w:rsid w:val="006023B4"/>
    <w:rsid w:val="00606474"/>
    <w:rsid w:val="00606DE0"/>
    <w:rsid w:val="00607F48"/>
    <w:rsid w:val="00612B84"/>
    <w:rsid w:val="0061358A"/>
    <w:rsid w:val="00613A02"/>
    <w:rsid w:val="00614C1B"/>
    <w:rsid w:val="00616C7D"/>
    <w:rsid w:val="006171BA"/>
    <w:rsid w:val="00617D13"/>
    <w:rsid w:val="00617D7F"/>
    <w:rsid w:val="00622976"/>
    <w:rsid w:val="00622A4E"/>
    <w:rsid w:val="006238EC"/>
    <w:rsid w:val="006258F6"/>
    <w:rsid w:val="00626017"/>
    <w:rsid w:val="0062643D"/>
    <w:rsid w:val="00627F49"/>
    <w:rsid w:val="006301A8"/>
    <w:rsid w:val="006335BD"/>
    <w:rsid w:val="006342F3"/>
    <w:rsid w:val="006366FE"/>
    <w:rsid w:val="00637E93"/>
    <w:rsid w:val="006433EC"/>
    <w:rsid w:val="00643CF4"/>
    <w:rsid w:val="006462C9"/>
    <w:rsid w:val="006628E0"/>
    <w:rsid w:val="006632A0"/>
    <w:rsid w:val="00663D17"/>
    <w:rsid w:val="006647B5"/>
    <w:rsid w:val="00666E42"/>
    <w:rsid w:val="00671157"/>
    <w:rsid w:val="00671BF0"/>
    <w:rsid w:val="006728A9"/>
    <w:rsid w:val="0067501F"/>
    <w:rsid w:val="006763BF"/>
    <w:rsid w:val="0067745C"/>
    <w:rsid w:val="0067790B"/>
    <w:rsid w:val="00677B17"/>
    <w:rsid w:val="006806B3"/>
    <w:rsid w:val="00682500"/>
    <w:rsid w:val="00683600"/>
    <w:rsid w:val="00684EA2"/>
    <w:rsid w:val="006854EF"/>
    <w:rsid w:val="00685842"/>
    <w:rsid w:val="00685905"/>
    <w:rsid w:val="006903E2"/>
    <w:rsid w:val="0069254F"/>
    <w:rsid w:val="00693B40"/>
    <w:rsid w:val="00697F6F"/>
    <w:rsid w:val="006A0D42"/>
    <w:rsid w:val="006A1093"/>
    <w:rsid w:val="006A7F7C"/>
    <w:rsid w:val="006B2026"/>
    <w:rsid w:val="006B42A6"/>
    <w:rsid w:val="006B45C4"/>
    <w:rsid w:val="006B5DD3"/>
    <w:rsid w:val="006B61B6"/>
    <w:rsid w:val="006C0800"/>
    <w:rsid w:val="006C083A"/>
    <w:rsid w:val="006C08C7"/>
    <w:rsid w:val="006C259E"/>
    <w:rsid w:val="006C3DD3"/>
    <w:rsid w:val="006C444A"/>
    <w:rsid w:val="006D758A"/>
    <w:rsid w:val="006E0C22"/>
    <w:rsid w:val="006F11EB"/>
    <w:rsid w:val="006F26C9"/>
    <w:rsid w:val="006F33EA"/>
    <w:rsid w:val="006F6FCF"/>
    <w:rsid w:val="00700B90"/>
    <w:rsid w:val="00701510"/>
    <w:rsid w:val="00701817"/>
    <w:rsid w:val="007021EC"/>
    <w:rsid w:val="00703998"/>
    <w:rsid w:val="00707F1C"/>
    <w:rsid w:val="0071305B"/>
    <w:rsid w:val="007130A0"/>
    <w:rsid w:val="00716A47"/>
    <w:rsid w:val="00717DDE"/>
    <w:rsid w:val="00720F85"/>
    <w:rsid w:val="00722D25"/>
    <w:rsid w:val="0072556E"/>
    <w:rsid w:val="007264CA"/>
    <w:rsid w:val="00730B91"/>
    <w:rsid w:val="00730DE4"/>
    <w:rsid w:val="00731735"/>
    <w:rsid w:val="007366D6"/>
    <w:rsid w:val="007375D0"/>
    <w:rsid w:val="00740A77"/>
    <w:rsid w:val="00741AF7"/>
    <w:rsid w:val="0074216D"/>
    <w:rsid w:val="00743C36"/>
    <w:rsid w:val="00744153"/>
    <w:rsid w:val="007441C5"/>
    <w:rsid w:val="00745B72"/>
    <w:rsid w:val="00750A67"/>
    <w:rsid w:val="00750FBD"/>
    <w:rsid w:val="00751CF7"/>
    <w:rsid w:val="00754183"/>
    <w:rsid w:val="007544E7"/>
    <w:rsid w:val="00755CD0"/>
    <w:rsid w:val="0075765F"/>
    <w:rsid w:val="00760DFD"/>
    <w:rsid w:val="00762DCF"/>
    <w:rsid w:val="007637E9"/>
    <w:rsid w:val="00764169"/>
    <w:rsid w:val="007643A3"/>
    <w:rsid w:val="007648D3"/>
    <w:rsid w:val="00772AE5"/>
    <w:rsid w:val="00773DA7"/>
    <w:rsid w:val="007745DF"/>
    <w:rsid w:val="00774DAF"/>
    <w:rsid w:val="00775276"/>
    <w:rsid w:val="0077546C"/>
    <w:rsid w:val="00775757"/>
    <w:rsid w:val="00777330"/>
    <w:rsid w:val="007810E4"/>
    <w:rsid w:val="0078259E"/>
    <w:rsid w:val="0079454E"/>
    <w:rsid w:val="00794746"/>
    <w:rsid w:val="007954D2"/>
    <w:rsid w:val="007974FB"/>
    <w:rsid w:val="007A0CD4"/>
    <w:rsid w:val="007A108C"/>
    <w:rsid w:val="007A1649"/>
    <w:rsid w:val="007A1F4D"/>
    <w:rsid w:val="007A3A31"/>
    <w:rsid w:val="007A3E6E"/>
    <w:rsid w:val="007A7B55"/>
    <w:rsid w:val="007B1174"/>
    <w:rsid w:val="007B1A01"/>
    <w:rsid w:val="007B1E66"/>
    <w:rsid w:val="007B339D"/>
    <w:rsid w:val="007B75BC"/>
    <w:rsid w:val="007C3BA5"/>
    <w:rsid w:val="007C43DC"/>
    <w:rsid w:val="007C5B14"/>
    <w:rsid w:val="007D107F"/>
    <w:rsid w:val="007D1507"/>
    <w:rsid w:val="007D2606"/>
    <w:rsid w:val="007E27E6"/>
    <w:rsid w:val="007E49A1"/>
    <w:rsid w:val="007E55C0"/>
    <w:rsid w:val="007F0E0D"/>
    <w:rsid w:val="007F2988"/>
    <w:rsid w:val="007F4516"/>
    <w:rsid w:val="007F60F1"/>
    <w:rsid w:val="007F69EF"/>
    <w:rsid w:val="0080053F"/>
    <w:rsid w:val="008023DF"/>
    <w:rsid w:val="0080684E"/>
    <w:rsid w:val="00811596"/>
    <w:rsid w:val="00813253"/>
    <w:rsid w:val="00814A45"/>
    <w:rsid w:val="00816128"/>
    <w:rsid w:val="008174DA"/>
    <w:rsid w:val="00817B85"/>
    <w:rsid w:val="008207DC"/>
    <w:rsid w:val="00821D25"/>
    <w:rsid w:val="008222DE"/>
    <w:rsid w:val="00823494"/>
    <w:rsid w:val="00824DFB"/>
    <w:rsid w:val="00825859"/>
    <w:rsid w:val="00825CFD"/>
    <w:rsid w:val="00827905"/>
    <w:rsid w:val="00830997"/>
    <w:rsid w:val="0083206D"/>
    <w:rsid w:val="00835ECE"/>
    <w:rsid w:val="00840263"/>
    <w:rsid w:val="00840573"/>
    <w:rsid w:val="0084194C"/>
    <w:rsid w:val="00844AF9"/>
    <w:rsid w:val="00846C06"/>
    <w:rsid w:val="00855E91"/>
    <w:rsid w:val="00855E92"/>
    <w:rsid w:val="008603CE"/>
    <w:rsid w:val="008608E6"/>
    <w:rsid w:val="00862ED4"/>
    <w:rsid w:val="00871AB0"/>
    <w:rsid w:val="00871B81"/>
    <w:rsid w:val="008727BE"/>
    <w:rsid w:val="008732C7"/>
    <w:rsid w:val="00874D2E"/>
    <w:rsid w:val="00876207"/>
    <w:rsid w:val="008762F1"/>
    <w:rsid w:val="008764B5"/>
    <w:rsid w:val="008768DA"/>
    <w:rsid w:val="00880E00"/>
    <w:rsid w:val="0088178C"/>
    <w:rsid w:val="00884E76"/>
    <w:rsid w:val="00885C21"/>
    <w:rsid w:val="0089091F"/>
    <w:rsid w:val="0089227D"/>
    <w:rsid w:val="0089285F"/>
    <w:rsid w:val="00892BBF"/>
    <w:rsid w:val="00895B39"/>
    <w:rsid w:val="0089721B"/>
    <w:rsid w:val="00897632"/>
    <w:rsid w:val="00897E85"/>
    <w:rsid w:val="008A08BE"/>
    <w:rsid w:val="008A17A1"/>
    <w:rsid w:val="008A24F7"/>
    <w:rsid w:val="008A2C80"/>
    <w:rsid w:val="008A3516"/>
    <w:rsid w:val="008A599F"/>
    <w:rsid w:val="008A7509"/>
    <w:rsid w:val="008A7BFC"/>
    <w:rsid w:val="008B0C38"/>
    <w:rsid w:val="008B3199"/>
    <w:rsid w:val="008B3D0B"/>
    <w:rsid w:val="008B3E39"/>
    <w:rsid w:val="008B58E3"/>
    <w:rsid w:val="008B6854"/>
    <w:rsid w:val="008B6AC0"/>
    <w:rsid w:val="008C0895"/>
    <w:rsid w:val="008C13AC"/>
    <w:rsid w:val="008C15BD"/>
    <w:rsid w:val="008C2D64"/>
    <w:rsid w:val="008D385A"/>
    <w:rsid w:val="008D4068"/>
    <w:rsid w:val="008D6138"/>
    <w:rsid w:val="008D7B03"/>
    <w:rsid w:val="008E00A8"/>
    <w:rsid w:val="008E1639"/>
    <w:rsid w:val="008E4682"/>
    <w:rsid w:val="008E5478"/>
    <w:rsid w:val="008E587C"/>
    <w:rsid w:val="008E58E0"/>
    <w:rsid w:val="008E5A3D"/>
    <w:rsid w:val="008E5D44"/>
    <w:rsid w:val="008E6277"/>
    <w:rsid w:val="008E77B1"/>
    <w:rsid w:val="008F24B8"/>
    <w:rsid w:val="008F2563"/>
    <w:rsid w:val="008F73BA"/>
    <w:rsid w:val="008F7A18"/>
    <w:rsid w:val="008F7BD4"/>
    <w:rsid w:val="008F7F4E"/>
    <w:rsid w:val="0090136B"/>
    <w:rsid w:val="00902A2F"/>
    <w:rsid w:val="00902A6C"/>
    <w:rsid w:val="0090406B"/>
    <w:rsid w:val="00905261"/>
    <w:rsid w:val="0090690D"/>
    <w:rsid w:val="00907319"/>
    <w:rsid w:val="00910167"/>
    <w:rsid w:val="009125F7"/>
    <w:rsid w:val="00913583"/>
    <w:rsid w:val="00915211"/>
    <w:rsid w:val="009154C1"/>
    <w:rsid w:val="00916B3A"/>
    <w:rsid w:val="00920B86"/>
    <w:rsid w:val="00920FD7"/>
    <w:rsid w:val="0092460B"/>
    <w:rsid w:val="00925053"/>
    <w:rsid w:val="00927353"/>
    <w:rsid w:val="00927529"/>
    <w:rsid w:val="00930FC2"/>
    <w:rsid w:val="00933A6B"/>
    <w:rsid w:val="0093694D"/>
    <w:rsid w:val="00941D45"/>
    <w:rsid w:val="00955506"/>
    <w:rsid w:val="0095589F"/>
    <w:rsid w:val="00955A26"/>
    <w:rsid w:val="00955C1D"/>
    <w:rsid w:val="00960AC6"/>
    <w:rsid w:val="00960BD2"/>
    <w:rsid w:val="00960D36"/>
    <w:rsid w:val="00960E75"/>
    <w:rsid w:val="00961964"/>
    <w:rsid w:val="00963C59"/>
    <w:rsid w:val="00966D91"/>
    <w:rsid w:val="009670B6"/>
    <w:rsid w:val="00971C02"/>
    <w:rsid w:val="00972717"/>
    <w:rsid w:val="0097310F"/>
    <w:rsid w:val="00973D75"/>
    <w:rsid w:val="00976C18"/>
    <w:rsid w:val="00977CC2"/>
    <w:rsid w:val="009812C5"/>
    <w:rsid w:val="009822D8"/>
    <w:rsid w:val="00984BCC"/>
    <w:rsid w:val="0098647C"/>
    <w:rsid w:val="00986EA7"/>
    <w:rsid w:val="00987C66"/>
    <w:rsid w:val="009928A9"/>
    <w:rsid w:val="00992E3F"/>
    <w:rsid w:val="00993097"/>
    <w:rsid w:val="00993F2A"/>
    <w:rsid w:val="00995F30"/>
    <w:rsid w:val="009A0184"/>
    <w:rsid w:val="009A12BF"/>
    <w:rsid w:val="009A2416"/>
    <w:rsid w:val="009A4A2C"/>
    <w:rsid w:val="009A5210"/>
    <w:rsid w:val="009A5B1C"/>
    <w:rsid w:val="009B0751"/>
    <w:rsid w:val="009B1962"/>
    <w:rsid w:val="009B3DF4"/>
    <w:rsid w:val="009B458F"/>
    <w:rsid w:val="009B51E2"/>
    <w:rsid w:val="009B5B3F"/>
    <w:rsid w:val="009B7619"/>
    <w:rsid w:val="009C0584"/>
    <w:rsid w:val="009C06CE"/>
    <w:rsid w:val="009C221B"/>
    <w:rsid w:val="009C2CF9"/>
    <w:rsid w:val="009C3393"/>
    <w:rsid w:val="009C3717"/>
    <w:rsid w:val="009C7840"/>
    <w:rsid w:val="009D0941"/>
    <w:rsid w:val="009D0D52"/>
    <w:rsid w:val="009D6C19"/>
    <w:rsid w:val="009D72CD"/>
    <w:rsid w:val="009E00F5"/>
    <w:rsid w:val="009E2D4B"/>
    <w:rsid w:val="009E319C"/>
    <w:rsid w:val="009E46A2"/>
    <w:rsid w:val="009F72D6"/>
    <w:rsid w:val="00A01E64"/>
    <w:rsid w:val="00A03298"/>
    <w:rsid w:val="00A06155"/>
    <w:rsid w:val="00A100E1"/>
    <w:rsid w:val="00A10134"/>
    <w:rsid w:val="00A11ED2"/>
    <w:rsid w:val="00A11F0F"/>
    <w:rsid w:val="00A137CC"/>
    <w:rsid w:val="00A15DFD"/>
    <w:rsid w:val="00A16910"/>
    <w:rsid w:val="00A17595"/>
    <w:rsid w:val="00A2421E"/>
    <w:rsid w:val="00A27247"/>
    <w:rsid w:val="00A30727"/>
    <w:rsid w:val="00A31E2E"/>
    <w:rsid w:val="00A32272"/>
    <w:rsid w:val="00A322FA"/>
    <w:rsid w:val="00A32F30"/>
    <w:rsid w:val="00A3524D"/>
    <w:rsid w:val="00A3554A"/>
    <w:rsid w:val="00A35E10"/>
    <w:rsid w:val="00A37810"/>
    <w:rsid w:val="00A41875"/>
    <w:rsid w:val="00A432F3"/>
    <w:rsid w:val="00A440FA"/>
    <w:rsid w:val="00A47357"/>
    <w:rsid w:val="00A5084E"/>
    <w:rsid w:val="00A50F9B"/>
    <w:rsid w:val="00A53B93"/>
    <w:rsid w:val="00A541B1"/>
    <w:rsid w:val="00A60FC8"/>
    <w:rsid w:val="00A60FE8"/>
    <w:rsid w:val="00A6509A"/>
    <w:rsid w:val="00A65B0F"/>
    <w:rsid w:val="00A67FAC"/>
    <w:rsid w:val="00A774BB"/>
    <w:rsid w:val="00A8234C"/>
    <w:rsid w:val="00A8297C"/>
    <w:rsid w:val="00A845BF"/>
    <w:rsid w:val="00A8497A"/>
    <w:rsid w:val="00A90D94"/>
    <w:rsid w:val="00A924FC"/>
    <w:rsid w:val="00A94415"/>
    <w:rsid w:val="00A945AD"/>
    <w:rsid w:val="00AA0929"/>
    <w:rsid w:val="00AA0BD9"/>
    <w:rsid w:val="00AA1F1B"/>
    <w:rsid w:val="00AA4D1A"/>
    <w:rsid w:val="00AB3BB6"/>
    <w:rsid w:val="00AB4C61"/>
    <w:rsid w:val="00AB549F"/>
    <w:rsid w:val="00AB6C37"/>
    <w:rsid w:val="00AB7500"/>
    <w:rsid w:val="00AC009F"/>
    <w:rsid w:val="00AC14FC"/>
    <w:rsid w:val="00AC1640"/>
    <w:rsid w:val="00AC2649"/>
    <w:rsid w:val="00AC4A14"/>
    <w:rsid w:val="00AC6723"/>
    <w:rsid w:val="00AC71B1"/>
    <w:rsid w:val="00AD02EF"/>
    <w:rsid w:val="00AD1910"/>
    <w:rsid w:val="00AD2B5D"/>
    <w:rsid w:val="00AD3F48"/>
    <w:rsid w:val="00AD5886"/>
    <w:rsid w:val="00AE0251"/>
    <w:rsid w:val="00AE25D2"/>
    <w:rsid w:val="00AE2C98"/>
    <w:rsid w:val="00AE34BA"/>
    <w:rsid w:val="00AE34C6"/>
    <w:rsid w:val="00AE5ED3"/>
    <w:rsid w:val="00AE6239"/>
    <w:rsid w:val="00AF0EC1"/>
    <w:rsid w:val="00AF512D"/>
    <w:rsid w:val="00AF5882"/>
    <w:rsid w:val="00AF58B2"/>
    <w:rsid w:val="00AF5FAF"/>
    <w:rsid w:val="00B04BF3"/>
    <w:rsid w:val="00B062B8"/>
    <w:rsid w:val="00B10228"/>
    <w:rsid w:val="00B12D39"/>
    <w:rsid w:val="00B147B6"/>
    <w:rsid w:val="00B15FDA"/>
    <w:rsid w:val="00B16EE5"/>
    <w:rsid w:val="00B17764"/>
    <w:rsid w:val="00B2137E"/>
    <w:rsid w:val="00B255CB"/>
    <w:rsid w:val="00B260CB"/>
    <w:rsid w:val="00B31BB5"/>
    <w:rsid w:val="00B332ED"/>
    <w:rsid w:val="00B346F7"/>
    <w:rsid w:val="00B34A98"/>
    <w:rsid w:val="00B35310"/>
    <w:rsid w:val="00B35A8C"/>
    <w:rsid w:val="00B41FFB"/>
    <w:rsid w:val="00B43E91"/>
    <w:rsid w:val="00B471B9"/>
    <w:rsid w:val="00B50690"/>
    <w:rsid w:val="00B51356"/>
    <w:rsid w:val="00B51654"/>
    <w:rsid w:val="00B531D6"/>
    <w:rsid w:val="00B55787"/>
    <w:rsid w:val="00B566AE"/>
    <w:rsid w:val="00B577B8"/>
    <w:rsid w:val="00B616C1"/>
    <w:rsid w:val="00B63F1D"/>
    <w:rsid w:val="00B64EE5"/>
    <w:rsid w:val="00B663B6"/>
    <w:rsid w:val="00B72E89"/>
    <w:rsid w:val="00B75741"/>
    <w:rsid w:val="00B75B1B"/>
    <w:rsid w:val="00B765FD"/>
    <w:rsid w:val="00B8198A"/>
    <w:rsid w:val="00B81B37"/>
    <w:rsid w:val="00B83400"/>
    <w:rsid w:val="00B863F1"/>
    <w:rsid w:val="00B93205"/>
    <w:rsid w:val="00B941C0"/>
    <w:rsid w:val="00B94F3E"/>
    <w:rsid w:val="00B953BD"/>
    <w:rsid w:val="00B95A1E"/>
    <w:rsid w:val="00B95E1E"/>
    <w:rsid w:val="00B9658B"/>
    <w:rsid w:val="00B97113"/>
    <w:rsid w:val="00B977DE"/>
    <w:rsid w:val="00B97D59"/>
    <w:rsid w:val="00BA050E"/>
    <w:rsid w:val="00BA117B"/>
    <w:rsid w:val="00BA397B"/>
    <w:rsid w:val="00BA5D15"/>
    <w:rsid w:val="00BB04A9"/>
    <w:rsid w:val="00BB285E"/>
    <w:rsid w:val="00BB6FED"/>
    <w:rsid w:val="00BC1596"/>
    <w:rsid w:val="00BC17BD"/>
    <w:rsid w:val="00BC3501"/>
    <w:rsid w:val="00BC3BAC"/>
    <w:rsid w:val="00BC74EF"/>
    <w:rsid w:val="00BC76A6"/>
    <w:rsid w:val="00BD38F0"/>
    <w:rsid w:val="00BD52BC"/>
    <w:rsid w:val="00BD63C4"/>
    <w:rsid w:val="00BD7B5A"/>
    <w:rsid w:val="00BE391C"/>
    <w:rsid w:val="00BE3CA7"/>
    <w:rsid w:val="00BE4ECF"/>
    <w:rsid w:val="00BE5B99"/>
    <w:rsid w:val="00BE61CC"/>
    <w:rsid w:val="00C01F7D"/>
    <w:rsid w:val="00C02986"/>
    <w:rsid w:val="00C02B11"/>
    <w:rsid w:val="00C0421F"/>
    <w:rsid w:val="00C05FF5"/>
    <w:rsid w:val="00C1089A"/>
    <w:rsid w:val="00C10AE0"/>
    <w:rsid w:val="00C111A9"/>
    <w:rsid w:val="00C119B5"/>
    <w:rsid w:val="00C125A1"/>
    <w:rsid w:val="00C14B34"/>
    <w:rsid w:val="00C222A4"/>
    <w:rsid w:val="00C22542"/>
    <w:rsid w:val="00C25C5D"/>
    <w:rsid w:val="00C26111"/>
    <w:rsid w:val="00C2645C"/>
    <w:rsid w:val="00C27DDD"/>
    <w:rsid w:val="00C31921"/>
    <w:rsid w:val="00C345E9"/>
    <w:rsid w:val="00C34C82"/>
    <w:rsid w:val="00C416B9"/>
    <w:rsid w:val="00C42376"/>
    <w:rsid w:val="00C43F42"/>
    <w:rsid w:val="00C4658C"/>
    <w:rsid w:val="00C47362"/>
    <w:rsid w:val="00C55ABB"/>
    <w:rsid w:val="00C56563"/>
    <w:rsid w:val="00C6198A"/>
    <w:rsid w:val="00C61DAE"/>
    <w:rsid w:val="00C645B4"/>
    <w:rsid w:val="00C64E1A"/>
    <w:rsid w:val="00C712C7"/>
    <w:rsid w:val="00C733F7"/>
    <w:rsid w:val="00C7489C"/>
    <w:rsid w:val="00C75E6E"/>
    <w:rsid w:val="00C83E7E"/>
    <w:rsid w:val="00C86E74"/>
    <w:rsid w:val="00C87141"/>
    <w:rsid w:val="00C92928"/>
    <w:rsid w:val="00C938BE"/>
    <w:rsid w:val="00C961EF"/>
    <w:rsid w:val="00C97B30"/>
    <w:rsid w:val="00CA051C"/>
    <w:rsid w:val="00CA1CB5"/>
    <w:rsid w:val="00CA2D5F"/>
    <w:rsid w:val="00CA3F96"/>
    <w:rsid w:val="00CA66C5"/>
    <w:rsid w:val="00CB0095"/>
    <w:rsid w:val="00CB0BFF"/>
    <w:rsid w:val="00CB1030"/>
    <w:rsid w:val="00CB1ED7"/>
    <w:rsid w:val="00CB39E3"/>
    <w:rsid w:val="00CB3CB4"/>
    <w:rsid w:val="00CB4B75"/>
    <w:rsid w:val="00CC0142"/>
    <w:rsid w:val="00CC15C4"/>
    <w:rsid w:val="00CC1963"/>
    <w:rsid w:val="00CC2F3F"/>
    <w:rsid w:val="00CC3DAA"/>
    <w:rsid w:val="00CC741A"/>
    <w:rsid w:val="00CC7ADC"/>
    <w:rsid w:val="00CD014D"/>
    <w:rsid w:val="00CD075F"/>
    <w:rsid w:val="00CD201D"/>
    <w:rsid w:val="00CE1482"/>
    <w:rsid w:val="00CE3139"/>
    <w:rsid w:val="00CE55D1"/>
    <w:rsid w:val="00CE5EF9"/>
    <w:rsid w:val="00CF19A2"/>
    <w:rsid w:val="00CF1E0B"/>
    <w:rsid w:val="00CF4304"/>
    <w:rsid w:val="00CF731A"/>
    <w:rsid w:val="00D012F9"/>
    <w:rsid w:val="00D0245F"/>
    <w:rsid w:val="00D03316"/>
    <w:rsid w:val="00D06E43"/>
    <w:rsid w:val="00D10732"/>
    <w:rsid w:val="00D11CBF"/>
    <w:rsid w:val="00D129B3"/>
    <w:rsid w:val="00D12F9D"/>
    <w:rsid w:val="00D138D1"/>
    <w:rsid w:val="00D13A8D"/>
    <w:rsid w:val="00D13E16"/>
    <w:rsid w:val="00D20812"/>
    <w:rsid w:val="00D2152C"/>
    <w:rsid w:val="00D2264A"/>
    <w:rsid w:val="00D236D6"/>
    <w:rsid w:val="00D23B2F"/>
    <w:rsid w:val="00D27469"/>
    <w:rsid w:val="00D2752E"/>
    <w:rsid w:val="00D27E20"/>
    <w:rsid w:val="00D30D27"/>
    <w:rsid w:val="00D3168B"/>
    <w:rsid w:val="00D31ECC"/>
    <w:rsid w:val="00D322C0"/>
    <w:rsid w:val="00D3384E"/>
    <w:rsid w:val="00D3402F"/>
    <w:rsid w:val="00D34128"/>
    <w:rsid w:val="00D37419"/>
    <w:rsid w:val="00D42123"/>
    <w:rsid w:val="00D45AC5"/>
    <w:rsid w:val="00D46331"/>
    <w:rsid w:val="00D503EC"/>
    <w:rsid w:val="00D50667"/>
    <w:rsid w:val="00D52985"/>
    <w:rsid w:val="00D54687"/>
    <w:rsid w:val="00D55300"/>
    <w:rsid w:val="00D558A7"/>
    <w:rsid w:val="00D613DE"/>
    <w:rsid w:val="00D63D3F"/>
    <w:rsid w:val="00D63F5B"/>
    <w:rsid w:val="00D64DF1"/>
    <w:rsid w:val="00D66AFA"/>
    <w:rsid w:val="00D701A7"/>
    <w:rsid w:val="00D70AD1"/>
    <w:rsid w:val="00D745B6"/>
    <w:rsid w:val="00D75EEA"/>
    <w:rsid w:val="00D76A2E"/>
    <w:rsid w:val="00D76D76"/>
    <w:rsid w:val="00D8001A"/>
    <w:rsid w:val="00D80101"/>
    <w:rsid w:val="00D85094"/>
    <w:rsid w:val="00D8654F"/>
    <w:rsid w:val="00D87D48"/>
    <w:rsid w:val="00D92194"/>
    <w:rsid w:val="00D935F6"/>
    <w:rsid w:val="00D9730E"/>
    <w:rsid w:val="00D97D6F"/>
    <w:rsid w:val="00DA00BE"/>
    <w:rsid w:val="00DA0929"/>
    <w:rsid w:val="00DA17BE"/>
    <w:rsid w:val="00DA222A"/>
    <w:rsid w:val="00DA2F86"/>
    <w:rsid w:val="00DA5151"/>
    <w:rsid w:val="00DA52D7"/>
    <w:rsid w:val="00DA5E1B"/>
    <w:rsid w:val="00DA6CEC"/>
    <w:rsid w:val="00DB3EC6"/>
    <w:rsid w:val="00DB4814"/>
    <w:rsid w:val="00DB4960"/>
    <w:rsid w:val="00DB4B91"/>
    <w:rsid w:val="00DB6721"/>
    <w:rsid w:val="00DC0FBB"/>
    <w:rsid w:val="00DC1DB4"/>
    <w:rsid w:val="00DC2063"/>
    <w:rsid w:val="00DC2959"/>
    <w:rsid w:val="00DC3E28"/>
    <w:rsid w:val="00DC5E14"/>
    <w:rsid w:val="00DC5FBF"/>
    <w:rsid w:val="00DC697B"/>
    <w:rsid w:val="00DD0CFC"/>
    <w:rsid w:val="00DD0E1E"/>
    <w:rsid w:val="00DD3152"/>
    <w:rsid w:val="00DD476D"/>
    <w:rsid w:val="00DD5D3D"/>
    <w:rsid w:val="00DE031D"/>
    <w:rsid w:val="00DE28C4"/>
    <w:rsid w:val="00DE3334"/>
    <w:rsid w:val="00DF50F4"/>
    <w:rsid w:val="00E00393"/>
    <w:rsid w:val="00E03364"/>
    <w:rsid w:val="00E03B39"/>
    <w:rsid w:val="00E06B7D"/>
    <w:rsid w:val="00E150D7"/>
    <w:rsid w:val="00E1561E"/>
    <w:rsid w:val="00E16969"/>
    <w:rsid w:val="00E179F4"/>
    <w:rsid w:val="00E222D5"/>
    <w:rsid w:val="00E22519"/>
    <w:rsid w:val="00E254F2"/>
    <w:rsid w:val="00E268A5"/>
    <w:rsid w:val="00E3457B"/>
    <w:rsid w:val="00E3572C"/>
    <w:rsid w:val="00E429DD"/>
    <w:rsid w:val="00E437A3"/>
    <w:rsid w:val="00E43F3D"/>
    <w:rsid w:val="00E44106"/>
    <w:rsid w:val="00E4602F"/>
    <w:rsid w:val="00E47401"/>
    <w:rsid w:val="00E525F8"/>
    <w:rsid w:val="00E5457F"/>
    <w:rsid w:val="00E54F56"/>
    <w:rsid w:val="00E56946"/>
    <w:rsid w:val="00E574BF"/>
    <w:rsid w:val="00E628E5"/>
    <w:rsid w:val="00E638FC"/>
    <w:rsid w:val="00E65470"/>
    <w:rsid w:val="00E658D3"/>
    <w:rsid w:val="00E671C2"/>
    <w:rsid w:val="00E712F8"/>
    <w:rsid w:val="00E714B4"/>
    <w:rsid w:val="00E724BF"/>
    <w:rsid w:val="00E73795"/>
    <w:rsid w:val="00E73869"/>
    <w:rsid w:val="00E746F3"/>
    <w:rsid w:val="00E754BA"/>
    <w:rsid w:val="00E75C2A"/>
    <w:rsid w:val="00E76CBD"/>
    <w:rsid w:val="00E82A98"/>
    <w:rsid w:val="00E82E37"/>
    <w:rsid w:val="00E84176"/>
    <w:rsid w:val="00E8596E"/>
    <w:rsid w:val="00E8670B"/>
    <w:rsid w:val="00E86A89"/>
    <w:rsid w:val="00E9271B"/>
    <w:rsid w:val="00E92ACE"/>
    <w:rsid w:val="00E9476A"/>
    <w:rsid w:val="00E95AA3"/>
    <w:rsid w:val="00E95BB6"/>
    <w:rsid w:val="00E96A88"/>
    <w:rsid w:val="00EA1C11"/>
    <w:rsid w:val="00EA246C"/>
    <w:rsid w:val="00EA37A6"/>
    <w:rsid w:val="00EB10C0"/>
    <w:rsid w:val="00EB3EBD"/>
    <w:rsid w:val="00EB6639"/>
    <w:rsid w:val="00EB7EE1"/>
    <w:rsid w:val="00EC00A7"/>
    <w:rsid w:val="00EC09A3"/>
    <w:rsid w:val="00EC1C36"/>
    <w:rsid w:val="00EC6F07"/>
    <w:rsid w:val="00EC7C88"/>
    <w:rsid w:val="00ED0B84"/>
    <w:rsid w:val="00ED3852"/>
    <w:rsid w:val="00ED43AA"/>
    <w:rsid w:val="00EE0631"/>
    <w:rsid w:val="00EE4C3C"/>
    <w:rsid w:val="00EE538C"/>
    <w:rsid w:val="00EE5CD9"/>
    <w:rsid w:val="00EE6D1A"/>
    <w:rsid w:val="00EE7FE4"/>
    <w:rsid w:val="00EF3708"/>
    <w:rsid w:val="00EF3B5D"/>
    <w:rsid w:val="00EF4FD0"/>
    <w:rsid w:val="00EF6298"/>
    <w:rsid w:val="00F0115F"/>
    <w:rsid w:val="00F01C7A"/>
    <w:rsid w:val="00F02AB4"/>
    <w:rsid w:val="00F067D6"/>
    <w:rsid w:val="00F10EFE"/>
    <w:rsid w:val="00F117EB"/>
    <w:rsid w:val="00F12F8A"/>
    <w:rsid w:val="00F13746"/>
    <w:rsid w:val="00F13A41"/>
    <w:rsid w:val="00F14B33"/>
    <w:rsid w:val="00F14E75"/>
    <w:rsid w:val="00F17066"/>
    <w:rsid w:val="00F21374"/>
    <w:rsid w:val="00F2160B"/>
    <w:rsid w:val="00F2668C"/>
    <w:rsid w:val="00F26AB3"/>
    <w:rsid w:val="00F26DFF"/>
    <w:rsid w:val="00F27756"/>
    <w:rsid w:val="00F27B22"/>
    <w:rsid w:val="00F27B49"/>
    <w:rsid w:val="00F30905"/>
    <w:rsid w:val="00F350E2"/>
    <w:rsid w:val="00F37727"/>
    <w:rsid w:val="00F41841"/>
    <w:rsid w:val="00F41880"/>
    <w:rsid w:val="00F41A1D"/>
    <w:rsid w:val="00F43F9D"/>
    <w:rsid w:val="00F47118"/>
    <w:rsid w:val="00F50E19"/>
    <w:rsid w:val="00F515A6"/>
    <w:rsid w:val="00F532EE"/>
    <w:rsid w:val="00F57930"/>
    <w:rsid w:val="00F57F42"/>
    <w:rsid w:val="00F60A8F"/>
    <w:rsid w:val="00F615D0"/>
    <w:rsid w:val="00F62D00"/>
    <w:rsid w:val="00F62D3A"/>
    <w:rsid w:val="00F638E3"/>
    <w:rsid w:val="00F656D5"/>
    <w:rsid w:val="00F664D7"/>
    <w:rsid w:val="00F67CBD"/>
    <w:rsid w:val="00F71EA6"/>
    <w:rsid w:val="00F73D56"/>
    <w:rsid w:val="00F766C5"/>
    <w:rsid w:val="00F77078"/>
    <w:rsid w:val="00F801EA"/>
    <w:rsid w:val="00F86015"/>
    <w:rsid w:val="00F861DC"/>
    <w:rsid w:val="00F86C05"/>
    <w:rsid w:val="00F8727E"/>
    <w:rsid w:val="00F90B95"/>
    <w:rsid w:val="00F91000"/>
    <w:rsid w:val="00F91D57"/>
    <w:rsid w:val="00FA0D2A"/>
    <w:rsid w:val="00FA1154"/>
    <w:rsid w:val="00FA30DE"/>
    <w:rsid w:val="00FA79DE"/>
    <w:rsid w:val="00FC1AEB"/>
    <w:rsid w:val="00FC1FC9"/>
    <w:rsid w:val="00FC5B79"/>
    <w:rsid w:val="00FE09B4"/>
    <w:rsid w:val="00FE211F"/>
    <w:rsid w:val="00FE2A3F"/>
    <w:rsid w:val="00FE3CF0"/>
    <w:rsid w:val="00FE4A39"/>
    <w:rsid w:val="00FE5694"/>
    <w:rsid w:val="00FE5951"/>
    <w:rsid w:val="00FE64BA"/>
    <w:rsid w:val="00FE6778"/>
    <w:rsid w:val="00FE69A6"/>
    <w:rsid w:val="00FF6B72"/>
    <w:rsid w:val="00FF6C65"/>
    <w:rsid w:val="00FF7303"/>
    <w:rsid w:val="5341AAA4"/>
    <w:rsid w:val="5CB3445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84C68"/>
  <w15:docId w15:val="{52F53C59-E709-C943-A863-06069458D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pPr>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13C"/>
    <w:rPr>
      <w:rFonts w:ascii="Arial Narrow" w:hAnsi="Arial Narrow"/>
      <w:sz w:val="24"/>
      <w:lang w:eastAsia="es-ES"/>
    </w:rPr>
  </w:style>
  <w:style w:type="paragraph" w:styleId="Ttulo1">
    <w:name w:val="heading 1"/>
    <w:basedOn w:val="Normal"/>
    <w:next w:val="Normal"/>
    <w:link w:val="Ttulo1Car"/>
    <w:autoRedefine/>
    <w:uiPriority w:val="9"/>
    <w:qFormat/>
    <w:rsid w:val="002A557F"/>
    <w:pPr>
      <w:keepNext/>
      <w:numPr>
        <w:ilvl w:val="1"/>
        <w:numId w:val="1"/>
      </w:numPr>
      <w:spacing w:line="240" w:lineRule="atLeast"/>
      <w:ind w:right="-232"/>
      <w:jc w:val="left"/>
      <w:outlineLvl w:val="0"/>
    </w:pPr>
    <w:rPr>
      <w:rFonts w:ascii="Arial" w:hAnsi="Arial" w:cs="Arial"/>
      <w:b/>
      <w:sz w:val="20"/>
    </w:rPr>
  </w:style>
  <w:style w:type="paragraph" w:styleId="Ttulo2">
    <w:name w:val="heading 2"/>
    <w:basedOn w:val="Normal"/>
    <w:next w:val="Normal"/>
    <w:link w:val="Ttulo2Car"/>
    <w:autoRedefine/>
    <w:qFormat/>
    <w:rsid w:val="00193D80"/>
    <w:pPr>
      <w:keepNext/>
      <w:spacing w:before="240" w:after="60"/>
      <w:jc w:val="center"/>
      <w:outlineLvl w:val="1"/>
    </w:pPr>
    <w:rPr>
      <w:rFonts w:ascii="Arial" w:hAnsi="Arial" w:cs="Arial"/>
      <w:b/>
      <w:sz w:val="22"/>
      <w:szCs w:val="22"/>
      <w:lang w:val="es-ES"/>
    </w:rPr>
  </w:style>
  <w:style w:type="paragraph" w:styleId="Ttulo3">
    <w:name w:val="heading 3"/>
    <w:basedOn w:val="Normal"/>
    <w:next w:val="Normal"/>
    <w:link w:val="Ttulo3Car1"/>
    <w:qFormat/>
    <w:rsid w:val="0010013C"/>
    <w:pPr>
      <w:keepNext/>
      <w:spacing w:before="240" w:after="60"/>
      <w:outlineLvl w:val="2"/>
    </w:pPr>
    <w:rPr>
      <w:rFonts w:ascii="Arial" w:hAnsi="Arial" w:cs="Arial"/>
      <w:b/>
      <w:bCs/>
      <w:sz w:val="26"/>
      <w:szCs w:val="26"/>
    </w:rPr>
  </w:style>
  <w:style w:type="paragraph" w:styleId="Ttulo4">
    <w:name w:val="heading 4"/>
    <w:basedOn w:val="Normal"/>
    <w:next w:val="Normal"/>
    <w:qFormat/>
    <w:rsid w:val="0010013C"/>
    <w:pPr>
      <w:keepNext/>
      <w:spacing w:before="240" w:after="60"/>
      <w:outlineLvl w:val="3"/>
    </w:pPr>
    <w:rPr>
      <w:b/>
      <w:bCs/>
      <w:sz w:val="28"/>
      <w:szCs w:val="28"/>
    </w:rPr>
  </w:style>
  <w:style w:type="paragraph" w:styleId="Ttulo5">
    <w:name w:val="heading 5"/>
    <w:basedOn w:val="Normal"/>
    <w:next w:val="Normal"/>
    <w:qFormat/>
    <w:rsid w:val="0010013C"/>
    <w:pPr>
      <w:spacing w:before="240" w:after="60"/>
      <w:outlineLvl w:val="4"/>
    </w:pPr>
    <w:rPr>
      <w:b/>
      <w:bCs/>
      <w:i/>
      <w:iCs/>
      <w:sz w:val="26"/>
      <w:szCs w:val="26"/>
    </w:rPr>
  </w:style>
  <w:style w:type="paragraph" w:styleId="Ttulo6">
    <w:name w:val="heading 6"/>
    <w:basedOn w:val="Normal"/>
    <w:next w:val="Normal"/>
    <w:qFormat/>
    <w:rsid w:val="0010013C"/>
    <w:pPr>
      <w:spacing w:before="240" w:after="60"/>
      <w:outlineLvl w:val="5"/>
    </w:pPr>
    <w:rPr>
      <w:b/>
      <w:bCs/>
      <w:sz w:val="22"/>
      <w:szCs w:val="22"/>
    </w:rPr>
  </w:style>
  <w:style w:type="paragraph" w:styleId="Ttulo7">
    <w:name w:val="heading 7"/>
    <w:basedOn w:val="Normal"/>
    <w:next w:val="Normal"/>
    <w:qFormat/>
    <w:rsid w:val="0010013C"/>
    <w:pPr>
      <w:spacing w:before="240" w:after="60"/>
      <w:outlineLvl w:val="6"/>
    </w:pPr>
    <w:rPr>
      <w:szCs w:val="24"/>
    </w:rPr>
  </w:style>
  <w:style w:type="paragraph" w:styleId="Ttulo8">
    <w:name w:val="heading 8"/>
    <w:basedOn w:val="Normal"/>
    <w:next w:val="Normal"/>
    <w:qFormat/>
    <w:rsid w:val="0010013C"/>
    <w:pPr>
      <w:spacing w:before="240" w:after="60"/>
      <w:outlineLvl w:val="7"/>
    </w:pPr>
    <w:rPr>
      <w:i/>
      <w:iCs/>
      <w:szCs w:val="24"/>
    </w:rPr>
  </w:style>
  <w:style w:type="paragraph" w:styleId="Ttulo9">
    <w:name w:val="heading 9"/>
    <w:basedOn w:val="Normal"/>
    <w:next w:val="Normal"/>
    <w:qFormat/>
    <w:rsid w:val="0010013C"/>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2A557F"/>
    <w:rPr>
      <w:rFonts w:ascii="Arial" w:hAnsi="Arial" w:cs="Arial"/>
      <w:b/>
      <w:lang w:eastAsia="es-ES"/>
    </w:rPr>
  </w:style>
  <w:style w:type="character" w:customStyle="1" w:styleId="Ttulo2Car">
    <w:name w:val="Título 2 Car"/>
    <w:link w:val="Ttulo2"/>
    <w:rsid w:val="00193D80"/>
    <w:rPr>
      <w:rFonts w:ascii="Arial" w:hAnsi="Arial" w:cs="Arial"/>
      <w:b/>
      <w:sz w:val="22"/>
      <w:szCs w:val="22"/>
      <w:lang w:val="es-ES" w:eastAsia="es-ES"/>
    </w:rPr>
  </w:style>
  <w:style w:type="character" w:customStyle="1" w:styleId="Ttulo3Car1">
    <w:name w:val="Título 3 Car1"/>
    <w:link w:val="Ttulo3"/>
    <w:rsid w:val="0010013C"/>
    <w:rPr>
      <w:rFonts w:ascii="Arial" w:hAnsi="Arial" w:cs="Arial"/>
      <w:b/>
      <w:bCs/>
      <w:sz w:val="26"/>
      <w:szCs w:val="26"/>
      <w:lang w:val="es-CO" w:eastAsia="es-ES" w:bidi="ar-SA"/>
    </w:rPr>
  </w:style>
  <w:style w:type="paragraph" w:styleId="Listaconnmeros">
    <w:name w:val="List Number"/>
    <w:basedOn w:val="Normal"/>
    <w:rsid w:val="0010013C"/>
    <w:pPr>
      <w:tabs>
        <w:tab w:val="num" w:pos="360"/>
      </w:tabs>
      <w:ind w:left="360" w:hanging="360"/>
    </w:pPr>
    <w:rPr>
      <w:lang w:val="es-ES"/>
    </w:rPr>
  </w:style>
  <w:style w:type="paragraph" w:styleId="Piedepgina">
    <w:name w:val="footer"/>
    <w:basedOn w:val="Normal"/>
    <w:link w:val="PiedepginaCar"/>
    <w:uiPriority w:val="99"/>
    <w:rsid w:val="0010013C"/>
    <w:pPr>
      <w:tabs>
        <w:tab w:val="center" w:pos="4252"/>
        <w:tab w:val="right" w:pos="8504"/>
      </w:tabs>
    </w:pPr>
  </w:style>
  <w:style w:type="character" w:customStyle="1" w:styleId="Ttulo1CarCar">
    <w:name w:val="Título 1 Car Car"/>
    <w:rsid w:val="0010013C"/>
    <w:rPr>
      <w:rFonts w:ascii="Arial Narrow" w:hAnsi="Arial Narrow"/>
      <w:b/>
      <w:noProof w:val="0"/>
      <w:kern w:val="32"/>
      <w:sz w:val="24"/>
      <w:szCs w:val="24"/>
      <w:lang w:val="es-ES" w:eastAsia="es-ES" w:bidi="ar-SA"/>
    </w:rPr>
  </w:style>
  <w:style w:type="paragraph" w:styleId="TDC1">
    <w:name w:val="toc 1"/>
    <w:basedOn w:val="Normal"/>
    <w:next w:val="Normal"/>
    <w:autoRedefine/>
    <w:uiPriority w:val="39"/>
    <w:qFormat/>
    <w:rsid w:val="00BD7B5A"/>
    <w:pPr>
      <w:tabs>
        <w:tab w:val="left" w:pos="480"/>
        <w:tab w:val="right" w:leader="dot" w:pos="9964"/>
      </w:tabs>
      <w:spacing w:before="120" w:after="120"/>
      <w:jc w:val="left"/>
    </w:pPr>
    <w:rPr>
      <w:rFonts w:ascii="Arial" w:hAnsi="Arial" w:cs="Arial"/>
      <w:b/>
      <w:bCs/>
      <w:caps/>
      <w:noProof/>
    </w:rPr>
  </w:style>
  <w:style w:type="paragraph" w:styleId="TDC2">
    <w:name w:val="toc 2"/>
    <w:basedOn w:val="Normal"/>
    <w:next w:val="Normal"/>
    <w:autoRedefine/>
    <w:uiPriority w:val="39"/>
    <w:rsid w:val="0010013C"/>
    <w:pPr>
      <w:ind w:left="240"/>
      <w:jc w:val="left"/>
    </w:pPr>
    <w:rPr>
      <w:rFonts w:ascii="Times New Roman" w:hAnsi="Times New Roman"/>
      <w:smallCaps/>
      <w:sz w:val="20"/>
    </w:rPr>
  </w:style>
  <w:style w:type="character" w:styleId="Nmerodepgina">
    <w:name w:val="page number"/>
    <w:basedOn w:val="Fuentedeprrafopredeter"/>
    <w:rsid w:val="0010013C"/>
  </w:style>
  <w:style w:type="paragraph" w:styleId="Encabezado">
    <w:name w:val="header"/>
    <w:aliases w:val="Encabezado1,encabezado,Encabezado Car Car Car Car Car,Encabezado Car Car Car"/>
    <w:basedOn w:val="Normal"/>
    <w:link w:val="EncabezadoCar"/>
    <w:uiPriority w:val="99"/>
    <w:rsid w:val="0010013C"/>
    <w:pPr>
      <w:tabs>
        <w:tab w:val="center" w:pos="4252"/>
        <w:tab w:val="right" w:pos="8504"/>
      </w:tabs>
    </w:pPr>
    <w:rPr>
      <w:lang w:val="es-ES"/>
    </w:rPr>
  </w:style>
  <w:style w:type="character" w:styleId="Hipervnculo">
    <w:name w:val="Hyperlink"/>
    <w:uiPriority w:val="99"/>
    <w:rsid w:val="0010013C"/>
    <w:rPr>
      <w:color w:val="0000FF"/>
      <w:u w:val="single"/>
    </w:rPr>
  </w:style>
  <w:style w:type="character" w:styleId="Hipervnculovisitado">
    <w:name w:val="FollowedHyperlink"/>
    <w:rsid w:val="0010013C"/>
    <w:rPr>
      <w:color w:val="800080"/>
      <w:u w:val="single"/>
    </w:rPr>
  </w:style>
  <w:style w:type="paragraph" w:styleId="TDC3">
    <w:name w:val="toc 3"/>
    <w:basedOn w:val="Normal"/>
    <w:next w:val="Normal"/>
    <w:autoRedefine/>
    <w:uiPriority w:val="39"/>
    <w:rsid w:val="0010013C"/>
    <w:pPr>
      <w:ind w:left="480"/>
      <w:jc w:val="left"/>
    </w:pPr>
    <w:rPr>
      <w:rFonts w:ascii="Times New Roman" w:hAnsi="Times New Roman"/>
      <w:i/>
      <w:iCs/>
      <w:sz w:val="20"/>
    </w:rPr>
  </w:style>
  <w:style w:type="paragraph" w:styleId="Textoindependiente2">
    <w:name w:val="Body Text 2"/>
    <w:basedOn w:val="Normal"/>
    <w:rsid w:val="0010013C"/>
    <w:pPr>
      <w:spacing w:before="120" w:after="120"/>
    </w:pPr>
    <w:rPr>
      <w:rFonts w:cs="Arial"/>
      <w:lang w:val="es-ES_tradnl"/>
    </w:rPr>
  </w:style>
  <w:style w:type="paragraph" w:styleId="Textoindependiente">
    <w:name w:val="Body Text"/>
    <w:basedOn w:val="Normal"/>
    <w:link w:val="TextoindependienteCar"/>
    <w:uiPriority w:val="1"/>
    <w:qFormat/>
    <w:rsid w:val="0010013C"/>
    <w:pPr>
      <w:spacing w:after="120"/>
    </w:pPr>
  </w:style>
  <w:style w:type="paragraph" w:styleId="Sangra2detindependiente">
    <w:name w:val="Body Text Indent 2"/>
    <w:basedOn w:val="Normal"/>
    <w:rsid w:val="0010013C"/>
    <w:pPr>
      <w:spacing w:after="120" w:line="480" w:lineRule="auto"/>
      <w:ind w:left="283"/>
    </w:pPr>
  </w:style>
  <w:style w:type="paragraph" w:styleId="Textoindependiente3">
    <w:name w:val="Body Text 3"/>
    <w:basedOn w:val="Normal"/>
    <w:rsid w:val="0010013C"/>
    <w:pPr>
      <w:spacing w:after="120"/>
    </w:pPr>
    <w:rPr>
      <w:sz w:val="16"/>
      <w:szCs w:val="16"/>
    </w:rPr>
  </w:style>
  <w:style w:type="paragraph" w:styleId="Textodebloque">
    <w:name w:val="Block Text"/>
    <w:basedOn w:val="Normal"/>
    <w:rsid w:val="0010013C"/>
    <w:pPr>
      <w:ind w:left="708" w:right="365" w:firstLine="55"/>
    </w:pPr>
    <w:rPr>
      <w:b/>
    </w:rPr>
  </w:style>
  <w:style w:type="paragraph" w:styleId="Sangradetextonormal">
    <w:name w:val="Body Text Indent"/>
    <w:basedOn w:val="Normal"/>
    <w:rsid w:val="0010013C"/>
  </w:style>
  <w:style w:type="paragraph" w:styleId="Textodeglobo">
    <w:name w:val="Balloon Text"/>
    <w:basedOn w:val="Normal"/>
    <w:semiHidden/>
    <w:rsid w:val="0010013C"/>
    <w:rPr>
      <w:rFonts w:ascii="Tahoma" w:hAnsi="Tahoma" w:cs="Tahoma"/>
      <w:sz w:val="16"/>
      <w:szCs w:val="16"/>
    </w:rPr>
  </w:style>
  <w:style w:type="character" w:styleId="Refdecomentario">
    <w:name w:val="annotation reference"/>
    <w:uiPriority w:val="99"/>
    <w:semiHidden/>
    <w:rsid w:val="0010013C"/>
    <w:rPr>
      <w:sz w:val="16"/>
      <w:szCs w:val="16"/>
    </w:rPr>
  </w:style>
  <w:style w:type="paragraph" w:styleId="Textocomentario">
    <w:name w:val="annotation text"/>
    <w:basedOn w:val="Normal"/>
    <w:link w:val="TextocomentarioCar"/>
    <w:uiPriority w:val="99"/>
    <w:rsid w:val="0010013C"/>
    <w:pPr>
      <w:jc w:val="left"/>
    </w:pPr>
    <w:rPr>
      <w:rFonts w:ascii="Arial" w:hAnsi="Arial"/>
      <w:sz w:val="20"/>
      <w:lang w:val="es-ES"/>
    </w:rPr>
  </w:style>
  <w:style w:type="paragraph" w:customStyle="1" w:styleId="Textoindependiente21">
    <w:name w:val="Texto independiente 21"/>
    <w:basedOn w:val="Normal"/>
    <w:rsid w:val="0010013C"/>
    <w:pPr>
      <w:spacing w:line="300" w:lineRule="atLeast"/>
      <w:ind w:left="2880" w:hanging="2880"/>
    </w:pPr>
    <w:rPr>
      <w:rFonts w:ascii="Helvetica" w:hAnsi="Helvetica"/>
      <w:lang w:val="es-ES_tradnl"/>
    </w:rPr>
  </w:style>
  <w:style w:type="paragraph" w:customStyle="1" w:styleId="textointerno">
    <w:name w:val="textointerno"/>
    <w:rsid w:val="0010013C"/>
    <w:rPr>
      <w:rFonts w:ascii="Cooper Lt BT" w:hAnsi="Cooper Lt BT"/>
      <w:color w:val="000000"/>
      <w:lang w:val="es-ES" w:eastAsia="es-ES"/>
    </w:rPr>
  </w:style>
  <w:style w:type="paragraph" w:styleId="Prrafodelista">
    <w:name w:val="List Paragraph"/>
    <w:basedOn w:val="Normal"/>
    <w:uiPriority w:val="34"/>
    <w:qFormat/>
    <w:rsid w:val="0010013C"/>
    <w:pPr>
      <w:ind w:left="708"/>
    </w:pPr>
  </w:style>
  <w:style w:type="table" w:customStyle="1" w:styleId="Tablaconcuadrcula1">
    <w:name w:val="Tabla con cuadrícula1"/>
    <w:basedOn w:val="Tablanormal"/>
    <w:next w:val="Tablaconcuadrcula"/>
    <w:rsid w:val="00100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10013C"/>
    <w:pPr>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100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semiHidden/>
    <w:rsid w:val="003D7E4E"/>
    <w:rPr>
      <w:sz w:val="20"/>
    </w:rPr>
  </w:style>
  <w:style w:type="character" w:styleId="Refdenotaalpie">
    <w:name w:val="footnote reference"/>
    <w:semiHidden/>
    <w:rsid w:val="003D7E4E"/>
    <w:rPr>
      <w:vertAlign w:val="superscript"/>
    </w:rPr>
  </w:style>
  <w:style w:type="character" w:customStyle="1" w:styleId="Ttulo3Car">
    <w:name w:val="Título 3 Car"/>
    <w:rsid w:val="00007400"/>
    <w:rPr>
      <w:rFonts w:ascii="Arial" w:hAnsi="Arial"/>
      <w:noProof w:val="0"/>
      <w:sz w:val="24"/>
      <w:szCs w:val="24"/>
      <w:lang w:val="es-ES" w:eastAsia="es-ES" w:bidi="ar-SA"/>
    </w:rPr>
  </w:style>
  <w:style w:type="character" w:customStyle="1" w:styleId="EncabezadoCar">
    <w:name w:val="Encabezado Car"/>
    <w:aliases w:val="Encabezado1 Car,encabezado Car,Encabezado Car Car Car Car Car Car,Encabezado Car Car Car Car"/>
    <w:link w:val="Encabezado"/>
    <w:uiPriority w:val="99"/>
    <w:rsid w:val="00483B77"/>
    <w:rPr>
      <w:rFonts w:ascii="Arial Narrow" w:hAnsi="Arial Narrow"/>
      <w:sz w:val="24"/>
      <w:lang w:val="es-ES" w:eastAsia="es-ES"/>
    </w:rPr>
  </w:style>
  <w:style w:type="paragraph" w:styleId="Asuntodelcomentario">
    <w:name w:val="annotation subject"/>
    <w:basedOn w:val="Textocomentario"/>
    <w:next w:val="Textocomentario"/>
    <w:link w:val="AsuntodelcomentarioCar"/>
    <w:uiPriority w:val="99"/>
    <w:rsid w:val="00A32272"/>
    <w:pPr>
      <w:ind w:left="851"/>
      <w:jc w:val="both"/>
    </w:pPr>
    <w:rPr>
      <w:rFonts w:ascii="Arial Narrow" w:hAnsi="Arial Narrow"/>
      <w:b/>
      <w:bCs/>
      <w:lang w:val="es-CO"/>
    </w:rPr>
  </w:style>
  <w:style w:type="character" w:customStyle="1" w:styleId="TextocomentarioCar">
    <w:name w:val="Texto comentario Car"/>
    <w:link w:val="Textocomentario"/>
    <w:uiPriority w:val="99"/>
    <w:rsid w:val="00A32272"/>
    <w:rPr>
      <w:rFonts w:ascii="Arial" w:hAnsi="Arial"/>
      <w:lang w:val="es-ES" w:eastAsia="es-ES"/>
    </w:rPr>
  </w:style>
  <w:style w:type="character" w:customStyle="1" w:styleId="AsuntodelcomentarioCar">
    <w:name w:val="Asunto del comentario Car"/>
    <w:link w:val="Asuntodelcomentario"/>
    <w:uiPriority w:val="99"/>
    <w:rsid w:val="00A32272"/>
    <w:rPr>
      <w:rFonts w:ascii="Arial Narrow" w:hAnsi="Arial Narrow"/>
      <w:b/>
      <w:bCs/>
      <w:lang w:val="es-ES" w:eastAsia="es-ES"/>
    </w:rPr>
  </w:style>
  <w:style w:type="paragraph" w:customStyle="1" w:styleId="Default">
    <w:name w:val="Default"/>
    <w:rsid w:val="0062643D"/>
    <w:pPr>
      <w:autoSpaceDE w:val="0"/>
      <w:autoSpaceDN w:val="0"/>
      <w:adjustRightInd w:val="0"/>
    </w:pPr>
    <w:rPr>
      <w:rFonts w:ascii="Verdana" w:hAnsi="Verdana" w:cs="Verdana"/>
      <w:color w:val="000000"/>
      <w:sz w:val="24"/>
      <w:szCs w:val="24"/>
    </w:rPr>
  </w:style>
  <w:style w:type="paragraph" w:styleId="NormalWeb">
    <w:name w:val="Normal (Web)"/>
    <w:basedOn w:val="Normal"/>
    <w:uiPriority w:val="99"/>
    <w:unhideWhenUsed/>
    <w:rsid w:val="00F8727E"/>
    <w:pPr>
      <w:spacing w:before="100" w:beforeAutospacing="1" w:after="100" w:afterAutospacing="1"/>
      <w:jc w:val="left"/>
    </w:pPr>
    <w:rPr>
      <w:rFonts w:ascii="Times New Roman" w:hAnsi="Times New Roman"/>
      <w:szCs w:val="24"/>
      <w:lang w:eastAsia="es-CO"/>
    </w:rPr>
  </w:style>
  <w:style w:type="character" w:styleId="nfasis">
    <w:name w:val="Emphasis"/>
    <w:qFormat/>
    <w:rsid w:val="00874D2E"/>
    <w:rPr>
      <w:i/>
      <w:iCs/>
    </w:rPr>
  </w:style>
  <w:style w:type="character" w:styleId="Textoennegrita">
    <w:name w:val="Strong"/>
    <w:uiPriority w:val="22"/>
    <w:qFormat/>
    <w:rsid w:val="00012D3C"/>
    <w:rPr>
      <w:b/>
      <w:bCs/>
    </w:rPr>
  </w:style>
  <w:style w:type="paragraph" w:styleId="TtuloTDC">
    <w:name w:val="TOC Heading"/>
    <w:basedOn w:val="Ttulo1"/>
    <w:next w:val="Normal"/>
    <w:uiPriority w:val="39"/>
    <w:unhideWhenUsed/>
    <w:qFormat/>
    <w:rsid w:val="00012D3C"/>
    <w:pPr>
      <w:keepLines/>
      <w:spacing w:before="480" w:line="276" w:lineRule="auto"/>
      <w:ind w:left="0"/>
      <w:outlineLvl w:val="9"/>
    </w:pPr>
    <w:rPr>
      <w:rFonts w:ascii="Cambria" w:hAnsi="Cambria" w:cs="Times New Roman"/>
      <w:bCs/>
      <w:color w:val="365F91"/>
      <w:sz w:val="28"/>
      <w:szCs w:val="28"/>
      <w:lang w:eastAsia="es-CO"/>
    </w:rPr>
  </w:style>
  <w:style w:type="paragraph" w:styleId="Ttulo">
    <w:name w:val="Title"/>
    <w:basedOn w:val="Normal"/>
    <w:next w:val="Normal"/>
    <w:link w:val="TtuloCar"/>
    <w:qFormat/>
    <w:rsid w:val="00012D3C"/>
    <w:pPr>
      <w:spacing w:before="240" w:after="60"/>
      <w:jc w:val="center"/>
      <w:outlineLvl w:val="0"/>
    </w:pPr>
    <w:rPr>
      <w:rFonts w:ascii="Cambria" w:hAnsi="Cambria"/>
      <w:b/>
      <w:bCs/>
      <w:kern w:val="28"/>
      <w:sz w:val="32"/>
      <w:szCs w:val="32"/>
    </w:rPr>
  </w:style>
  <w:style w:type="character" w:customStyle="1" w:styleId="TtuloCar">
    <w:name w:val="Título Car"/>
    <w:link w:val="Ttulo"/>
    <w:rsid w:val="00012D3C"/>
    <w:rPr>
      <w:rFonts w:ascii="Cambria" w:eastAsia="Times New Roman" w:hAnsi="Cambria" w:cs="Times New Roman"/>
      <w:b/>
      <w:bCs/>
      <w:kern w:val="28"/>
      <w:sz w:val="32"/>
      <w:szCs w:val="32"/>
      <w:lang w:eastAsia="es-ES"/>
    </w:rPr>
  </w:style>
  <w:style w:type="character" w:customStyle="1" w:styleId="PiedepginaCar">
    <w:name w:val="Pie de página Car"/>
    <w:link w:val="Piedepgina"/>
    <w:uiPriority w:val="99"/>
    <w:rsid w:val="003F57B0"/>
    <w:rPr>
      <w:rFonts w:ascii="Arial Narrow" w:hAnsi="Arial Narrow"/>
      <w:sz w:val="24"/>
      <w:lang w:eastAsia="es-ES"/>
    </w:rPr>
  </w:style>
  <w:style w:type="paragraph" w:styleId="Textonotaalfinal">
    <w:name w:val="endnote text"/>
    <w:basedOn w:val="Normal"/>
    <w:link w:val="TextonotaalfinalCar"/>
    <w:rsid w:val="00186242"/>
    <w:rPr>
      <w:sz w:val="20"/>
    </w:rPr>
  </w:style>
  <w:style w:type="character" w:customStyle="1" w:styleId="TextonotaalfinalCar">
    <w:name w:val="Texto nota al final Car"/>
    <w:link w:val="Textonotaalfinal"/>
    <w:rsid w:val="00186242"/>
    <w:rPr>
      <w:rFonts w:ascii="Arial Narrow" w:hAnsi="Arial Narrow"/>
      <w:lang w:eastAsia="es-ES"/>
    </w:rPr>
  </w:style>
  <w:style w:type="character" w:styleId="Refdenotaalfinal">
    <w:name w:val="endnote reference"/>
    <w:rsid w:val="00186242"/>
    <w:rPr>
      <w:vertAlign w:val="superscript"/>
    </w:rPr>
  </w:style>
  <w:style w:type="character" w:customStyle="1" w:styleId="Mencinsinresolver1">
    <w:name w:val="Mención sin resolver1"/>
    <w:uiPriority w:val="99"/>
    <w:semiHidden/>
    <w:unhideWhenUsed/>
    <w:rsid w:val="00A11ED2"/>
    <w:rPr>
      <w:color w:val="605E5C"/>
      <w:shd w:val="clear" w:color="auto" w:fill="E1DFDD"/>
    </w:rPr>
  </w:style>
  <w:style w:type="character" w:customStyle="1" w:styleId="Mencinsinresolver2">
    <w:name w:val="Mención sin resolver2"/>
    <w:basedOn w:val="Fuentedeprrafopredeter"/>
    <w:uiPriority w:val="99"/>
    <w:semiHidden/>
    <w:unhideWhenUsed/>
    <w:rsid w:val="00C47362"/>
    <w:rPr>
      <w:color w:val="605E5C"/>
      <w:shd w:val="clear" w:color="auto" w:fill="E1DFDD"/>
    </w:rPr>
  </w:style>
  <w:style w:type="paragraph" w:styleId="Revisin">
    <w:name w:val="Revision"/>
    <w:hidden/>
    <w:uiPriority w:val="99"/>
    <w:semiHidden/>
    <w:rsid w:val="00183921"/>
    <w:rPr>
      <w:rFonts w:ascii="Arial Narrow" w:hAnsi="Arial Narrow"/>
      <w:sz w:val="24"/>
      <w:lang w:eastAsia="es-ES"/>
    </w:rPr>
  </w:style>
  <w:style w:type="table" w:customStyle="1" w:styleId="NormalTable0">
    <w:name w:val="Normal Table0"/>
    <w:uiPriority w:val="2"/>
    <w:semiHidden/>
    <w:unhideWhenUsed/>
    <w:qFormat/>
    <w:rsid w:val="00B147B6"/>
    <w:pPr>
      <w:spacing w:after="120" w:line="264" w:lineRule="auto"/>
    </w:pPr>
    <w:rPr>
      <w:rFonts w:asciiTheme="minorHAnsi" w:eastAsiaTheme="minorEastAsia"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147B6"/>
    <w:pPr>
      <w:spacing w:after="120" w:line="264" w:lineRule="auto"/>
      <w:jc w:val="left"/>
    </w:pPr>
    <w:rPr>
      <w:rFonts w:asciiTheme="minorHAnsi" w:eastAsiaTheme="minorEastAsia" w:hAnsiTheme="minorHAnsi" w:cstheme="minorBidi"/>
      <w:sz w:val="20"/>
      <w:lang w:val="en-US" w:eastAsia="en-US"/>
    </w:rPr>
  </w:style>
  <w:style w:type="table" w:customStyle="1" w:styleId="TableNormal">
    <w:name w:val="Table Normal"/>
    <w:uiPriority w:val="2"/>
    <w:semiHidden/>
    <w:unhideWhenUsed/>
    <w:qFormat/>
    <w:rsid w:val="005805B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cf01">
    <w:name w:val="cf01"/>
    <w:basedOn w:val="Fuentedeprrafopredeter"/>
    <w:rsid w:val="005805B2"/>
    <w:rPr>
      <w:rFonts w:ascii="Segoe UI" w:hAnsi="Segoe UI" w:cs="Segoe UI" w:hint="default"/>
      <w:b/>
      <w:bCs/>
      <w:color w:val="333333"/>
      <w:sz w:val="18"/>
      <w:szCs w:val="18"/>
      <w:shd w:val="clear" w:color="auto" w:fill="FFFFFF"/>
    </w:rPr>
  </w:style>
  <w:style w:type="character" w:styleId="Mencinsinresolver">
    <w:name w:val="Unresolved Mention"/>
    <w:basedOn w:val="Fuentedeprrafopredeter"/>
    <w:uiPriority w:val="99"/>
    <w:semiHidden/>
    <w:unhideWhenUsed/>
    <w:rsid w:val="005805B2"/>
    <w:rPr>
      <w:color w:val="605E5C"/>
      <w:shd w:val="clear" w:color="auto" w:fill="E1DFDD"/>
    </w:rPr>
  </w:style>
  <w:style w:type="character" w:customStyle="1" w:styleId="TextoindependienteCar">
    <w:name w:val="Texto independiente Car"/>
    <w:basedOn w:val="Fuentedeprrafopredeter"/>
    <w:link w:val="Textoindependiente"/>
    <w:uiPriority w:val="1"/>
    <w:rsid w:val="0075765F"/>
    <w:rPr>
      <w:rFonts w:ascii="Arial Narrow" w:hAnsi="Arial Narrow"/>
      <w:sz w:val="24"/>
      <w:lang w:eastAsia="es-ES"/>
    </w:rPr>
  </w:style>
  <w:style w:type="paragraph" w:styleId="Subttulo">
    <w:name w:val="Subtitle"/>
    <w:basedOn w:val="Normal"/>
    <w:next w:val="Normal"/>
    <w:link w:val="SubttuloCar"/>
    <w:autoRedefine/>
    <w:qFormat/>
    <w:rsid w:val="008B3199"/>
    <w:pPr>
      <w:numPr>
        <w:numId w:val="10"/>
      </w:numPr>
      <w:spacing w:after="60"/>
      <w:ind w:left="426" w:hanging="426"/>
      <w:outlineLvl w:val="1"/>
    </w:pPr>
    <w:rPr>
      <w:rFonts w:ascii="Arial" w:eastAsiaTheme="majorEastAsia" w:hAnsi="Arial" w:cs="Arial"/>
      <w:b/>
      <w:sz w:val="20"/>
    </w:rPr>
  </w:style>
  <w:style w:type="character" w:customStyle="1" w:styleId="SubttuloCar">
    <w:name w:val="Subtítulo Car"/>
    <w:basedOn w:val="Fuentedeprrafopredeter"/>
    <w:link w:val="Subttulo"/>
    <w:rsid w:val="008B3199"/>
    <w:rPr>
      <w:rFonts w:ascii="Arial" w:eastAsiaTheme="majorEastAsia" w:hAnsi="Arial" w:cs="Arial"/>
      <w:b/>
      <w:lang w:eastAsia="es-ES"/>
    </w:rPr>
  </w:style>
  <w:style w:type="paragraph" w:styleId="Sinespaciado">
    <w:name w:val="No Spacing"/>
    <w:autoRedefine/>
    <w:uiPriority w:val="1"/>
    <w:qFormat/>
    <w:rsid w:val="008B3199"/>
    <w:pPr>
      <w:ind w:left="426"/>
    </w:pPr>
    <w:rPr>
      <w:rFonts w:ascii="Verdana" w:hAnsi="Verdana"/>
      <w:color w:val="00B05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1392">
      <w:bodyDiv w:val="1"/>
      <w:marLeft w:val="0"/>
      <w:marRight w:val="0"/>
      <w:marTop w:val="0"/>
      <w:marBottom w:val="0"/>
      <w:divBdr>
        <w:top w:val="none" w:sz="0" w:space="0" w:color="auto"/>
        <w:left w:val="none" w:sz="0" w:space="0" w:color="auto"/>
        <w:bottom w:val="none" w:sz="0" w:space="0" w:color="auto"/>
        <w:right w:val="none" w:sz="0" w:space="0" w:color="auto"/>
      </w:divBdr>
    </w:div>
    <w:div w:id="67270544">
      <w:bodyDiv w:val="1"/>
      <w:marLeft w:val="0"/>
      <w:marRight w:val="0"/>
      <w:marTop w:val="0"/>
      <w:marBottom w:val="0"/>
      <w:divBdr>
        <w:top w:val="none" w:sz="0" w:space="0" w:color="auto"/>
        <w:left w:val="none" w:sz="0" w:space="0" w:color="auto"/>
        <w:bottom w:val="none" w:sz="0" w:space="0" w:color="auto"/>
        <w:right w:val="none" w:sz="0" w:space="0" w:color="auto"/>
      </w:divBdr>
    </w:div>
    <w:div w:id="69694417">
      <w:bodyDiv w:val="1"/>
      <w:marLeft w:val="0"/>
      <w:marRight w:val="0"/>
      <w:marTop w:val="0"/>
      <w:marBottom w:val="0"/>
      <w:divBdr>
        <w:top w:val="none" w:sz="0" w:space="0" w:color="auto"/>
        <w:left w:val="none" w:sz="0" w:space="0" w:color="auto"/>
        <w:bottom w:val="none" w:sz="0" w:space="0" w:color="auto"/>
        <w:right w:val="none" w:sz="0" w:space="0" w:color="auto"/>
      </w:divBdr>
    </w:div>
    <w:div w:id="166871705">
      <w:bodyDiv w:val="1"/>
      <w:marLeft w:val="0"/>
      <w:marRight w:val="0"/>
      <w:marTop w:val="0"/>
      <w:marBottom w:val="0"/>
      <w:divBdr>
        <w:top w:val="none" w:sz="0" w:space="0" w:color="auto"/>
        <w:left w:val="none" w:sz="0" w:space="0" w:color="auto"/>
        <w:bottom w:val="none" w:sz="0" w:space="0" w:color="auto"/>
        <w:right w:val="none" w:sz="0" w:space="0" w:color="auto"/>
      </w:divBdr>
    </w:div>
    <w:div w:id="181745373">
      <w:bodyDiv w:val="1"/>
      <w:marLeft w:val="0"/>
      <w:marRight w:val="0"/>
      <w:marTop w:val="0"/>
      <w:marBottom w:val="0"/>
      <w:divBdr>
        <w:top w:val="none" w:sz="0" w:space="0" w:color="auto"/>
        <w:left w:val="none" w:sz="0" w:space="0" w:color="auto"/>
        <w:bottom w:val="none" w:sz="0" w:space="0" w:color="auto"/>
        <w:right w:val="none" w:sz="0" w:space="0" w:color="auto"/>
      </w:divBdr>
    </w:div>
    <w:div w:id="263419441">
      <w:bodyDiv w:val="1"/>
      <w:marLeft w:val="0"/>
      <w:marRight w:val="0"/>
      <w:marTop w:val="0"/>
      <w:marBottom w:val="0"/>
      <w:divBdr>
        <w:top w:val="none" w:sz="0" w:space="0" w:color="auto"/>
        <w:left w:val="none" w:sz="0" w:space="0" w:color="auto"/>
        <w:bottom w:val="none" w:sz="0" w:space="0" w:color="auto"/>
        <w:right w:val="none" w:sz="0" w:space="0" w:color="auto"/>
      </w:divBdr>
    </w:div>
    <w:div w:id="292371672">
      <w:bodyDiv w:val="1"/>
      <w:marLeft w:val="0"/>
      <w:marRight w:val="0"/>
      <w:marTop w:val="0"/>
      <w:marBottom w:val="0"/>
      <w:divBdr>
        <w:top w:val="none" w:sz="0" w:space="0" w:color="auto"/>
        <w:left w:val="none" w:sz="0" w:space="0" w:color="auto"/>
        <w:bottom w:val="none" w:sz="0" w:space="0" w:color="auto"/>
        <w:right w:val="none" w:sz="0" w:space="0" w:color="auto"/>
      </w:divBdr>
    </w:div>
    <w:div w:id="293948016">
      <w:bodyDiv w:val="1"/>
      <w:marLeft w:val="0"/>
      <w:marRight w:val="0"/>
      <w:marTop w:val="0"/>
      <w:marBottom w:val="0"/>
      <w:divBdr>
        <w:top w:val="none" w:sz="0" w:space="0" w:color="auto"/>
        <w:left w:val="none" w:sz="0" w:space="0" w:color="auto"/>
        <w:bottom w:val="none" w:sz="0" w:space="0" w:color="auto"/>
        <w:right w:val="none" w:sz="0" w:space="0" w:color="auto"/>
      </w:divBdr>
    </w:div>
    <w:div w:id="374891119">
      <w:bodyDiv w:val="1"/>
      <w:marLeft w:val="0"/>
      <w:marRight w:val="0"/>
      <w:marTop w:val="0"/>
      <w:marBottom w:val="0"/>
      <w:divBdr>
        <w:top w:val="none" w:sz="0" w:space="0" w:color="auto"/>
        <w:left w:val="none" w:sz="0" w:space="0" w:color="auto"/>
        <w:bottom w:val="none" w:sz="0" w:space="0" w:color="auto"/>
        <w:right w:val="none" w:sz="0" w:space="0" w:color="auto"/>
      </w:divBdr>
    </w:div>
    <w:div w:id="411588173">
      <w:bodyDiv w:val="1"/>
      <w:marLeft w:val="0"/>
      <w:marRight w:val="0"/>
      <w:marTop w:val="0"/>
      <w:marBottom w:val="0"/>
      <w:divBdr>
        <w:top w:val="none" w:sz="0" w:space="0" w:color="auto"/>
        <w:left w:val="none" w:sz="0" w:space="0" w:color="auto"/>
        <w:bottom w:val="none" w:sz="0" w:space="0" w:color="auto"/>
        <w:right w:val="none" w:sz="0" w:space="0" w:color="auto"/>
      </w:divBdr>
    </w:div>
    <w:div w:id="420369801">
      <w:bodyDiv w:val="1"/>
      <w:marLeft w:val="0"/>
      <w:marRight w:val="0"/>
      <w:marTop w:val="0"/>
      <w:marBottom w:val="0"/>
      <w:divBdr>
        <w:top w:val="none" w:sz="0" w:space="0" w:color="auto"/>
        <w:left w:val="none" w:sz="0" w:space="0" w:color="auto"/>
        <w:bottom w:val="none" w:sz="0" w:space="0" w:color="auto"/>
        <w:right w:val="none" w:sz="0" w:space="0" w:color="auto"/>
      </w:divBdr>
    </w:div>
    <w:div w:id="431901765">
      <w:bodyDiv w:val="1"/>
      <w:marLeft w:val="0"/>
      <w:marRight w:val="0"/>
      <w:marTop w:val="0"/>
      <w:marBottom w:val="0"/>
      <w:divBdr>
        <w:top w:val="none" w:sz="0" w:space="0" w:color="auto"/>
        <w:left w:val="none" w:sz="0" w:space="0" w:color="auto"/>
        <w:bottom w:val="none" w:sz="0" w:space="0" w:color="auto"/>
        <w:right w:val="none" w:sz="0" w:space="0" w:color="auto"/>
      </w:divBdr>
    </w:div>
    <w:div w:id="517238581">
      <w:bodyDiv w:val="1"/>
      <w:marLeft w:val="0"/>
      <w:marRight w:val="0"/>
      <w:marTop w:val="0"/>
      <w:marBottom w:val="0"/>
      <w:divBdr>
        <w:top w:val="none" w:sz="0" w:space="0" w:color="auto"/>
        <w:left w:val="none" w:sz="0" w:space="0" w:color="auto"/>
        <w:bottom w:val="none" w:sz="0" w:space="0" w:color="auto"/>
        <w:right w:val="none" w:sz="0" w:space="0" w:color="auto"/>
      </w:divBdr>
    </w:div>
    <w:div w:id="534008212">
      <w:bodyDiv w:val="1"/>
      <w:marLeft w:val="0"/>
      <w:marRight w:val="0"/>
      <w:marTop w:val="0"/>
      <w:marBottom w:val="0"/>
      <w:divBdr>
        <w:top w:val="none" w:sz="0" w:space="0" w:color="auto"/>
        <w:left w:val="none" w:sz="0" w:space="0" w:color="auto"/>
        <w:bottom w:val="none" w:sz="0" w:space="0" w:color="auto"/>
        <w:right w:val="none" w:sz="0" w:space="0" w:color="auto"/>
      </w:divBdr>
    </w:div>
    <w:div w:id="579142585">
      <w:bodyDiv w:val="1"/>
      <w:marLeft w:val="0"/>
      <w:marRight w:val="0"/>
      <w:marTop w:val="0"/>
      <w:marBottom w:val="0"/>
      <w:divBdr>
        <w:top w:val="none" w:sz="0" w:space="0" w:color="auto"/>
        <w:left w:val="none" w:sz="0" w:space="0" w:color="auto"/>
        <w:bottom w:val="none" w:sz="0" w:space="0" w:color="auto"/>
        <w:right w:val="none" w:sz="0" w:space="0" w:color="auto"/>
      </w:divBdr>
    </w:div>
    <w:div w:id="595752439">
      <w:bodyDiv w:val="1"/>
      <w:marLeft w:val="0"/>
      <w:marRight w:val="0"/>
      <w:marTop w:val="0"/>
      <w:marBottom w:val="0"/>
      <w:divBdr>
        <w:top w:val="none" w:sz="0" w:space="0" w:color="auto"/>
        <w:left w:val="none" w:sz="0" w:space="0" w:color="auto"/>
        <w:bottom w:val="none" w:sz="0" w:space="0" w:color="auto"/>
        <w:right w:val="none" w:sz="0" w:space="0" w:color="auto"/>
      </w:divBdr>
    </w:div>
    <w:div w:id="600332051">
      <w:bodyDiv w:val="1"/>
      <w:marLeft w:val="0"/>
      <w:marRight w:val="0"/>
      <w:marTop w:val="0"/>
      <w:marBottom w:val="0"/>
      <w:divBdr>
        <w:top w:val="none" w:sz="0" w:space="0" w:color="auto"/>
        <w:left w:val="none" w:sz="0" w:space="0" w:color="auto"/>
        <w:bottom w:val="none" w:sz="0" w:space="0" w:color="auto"/>
        <w:right w:val="none" w:sz="0" w:space="0" w:color="auto"/>
      </w:divBdr>
    </w:div>
    <w:div w:id="729813651">
      <w:bodyDiv w:val="1"/>
      <w:marLeft w:val="0"/>
      <w:marRight w:val="0"/>
      <w:marTop w:val="0"/>
      <w:marBottom w:val="0"/>
      <w:divBdr>
        <w:top w:val="none" w:sz="0" w:space="0" w:color="auto"/>
        <w:left w:val="none" w:sz="0" w:space="0" w:color="auto"/>
        <w:bottom w:val="none" w:sz="0" w:space="0" w:color="auto"/>
        <w:right w:val="none" w:sz="0" w:space="0" w:color="auto"/>
      </w:divBdr>
    </w:div>
    <w:div w:id="856700148">
      <w:bodyDiv w:val="1"/>
      <w:marLeft w:val="0"/>
      <w:marRight w:val="0"/>
      <w:marTop w:val="0"/>
      <w:marBottom w:val="0"/>
      <w:divBdr>
        <w:top w:val="none" w:sz="0" w:space="0" w:color="auto"/>
        <w:left w:val="none" w:sz="0" w:space="0" w:color="auto"/>
        <w:bottom w:val="none" w:sz="0" w:space="0" w:color="auto"/>
        <w:right w:val="none" w:sz="0" w:space="0" w:color="auto"/>
      </w:divBdr>
    </w:div>
    <w:div w:id="891774579">
      <w:bodyDiv w:val="1"/>
      <w:marLeft w:val="0"/>
      <w:marRight w:val="0"/>
      <w:marTop w:val="0"/>
      <w:marBottom w:val="0"/>
      <w:divBdr>
        <w:top w:val="none" w:sz="0" w:space="0" w:color="auto"/>
        <w:left w:val="none" w:sz="0" w:space="0" w:color="auto"/>
        <w:bottom w:val="none" w:sz="0" w:space="0" w:color="auto"/>
        <w:right w:val="none" w:sz="0" w:space="0" w:color="auto"/>
      </w:divBdr>
    </w:div>
    <w:div w:id="917521148">
      <w:bodyDiv w:val="1"/>
      <w:marLeft w:val="0"/>
      <w:marRight w:val="0"/>
      <w:marTop w:val="0"/>
      <w:marBottom w:val="0"/>
      <w:divBdr>
        <w:top w:val="none" w:sz="0" w:space="0" w:color="auto"/>
        <w:left w:val="none" w:sz="0" w:space="0" w:color="auto"/>
        <w:bottom w:val="none" w:sz="0" w:space="0" w:color="auto"/>
        <w:right w:val="none" w:sz="0" w:space="0" w:color="auto"/>
      </w:divBdr>
    </w:div>
    <w:div w:id="937130691">
      <w:bodyDiv w:val="1"/>
      <w:marLeft w:val="0"/>
      <w:marRight w:val="0"/>
      <w:marTop w:val="0"/>
      <w:marBottom w:val="0"/>
      <w:divBdr>
        <w:top w:val="none" w:sz="0" w:space="0" w:color="auto"/>
        <w:left w:val="none" w:sz="0" w:space="0" w:color="auto"/>
        <w:bottom w:val="none" w:sz="0" w:space="0" w:color="auto"/>
        <w:right w:val="none" w:sz="0" w:space="0" w:color="auto"/>
      </w:divBdr>
    </w:div>
    <w:div w:id="984554876">
      <w:bodyDiv w:val="1"/>
      <w:marLeft w:val="0"/>
      <w:marRight w:val="0"/>
      <w:marTop w:val="0"/>
      <w:marBottom w:val="0"/>
      <w:divBdr>
        <w:top w:val="none" w:sz="0" w:space="0" w:color="auto"/>
        <w:left w:val="none" w:sz="0" w:space="0" w:color="auto"/>
        <w:bottom w:val="none" w:sz="0" w:space="0" w:color="auto"/>
        <w:right w:val="none" w:sz="0" w:space="0" w:color="auto"/>
      </w:divBdr>
    </w:div>
    <w:div w:id="1057364453">
      <w:bodyDiv w:val="1"/>
      <w:marLeft w:val="0"/>
      <w:marRight w:val="0"/>
      <w:marTop w:val="0"/>
      <w:marBottom w:val="0"/>
      <w:divBdr>
        <w:top w:val="none" w:sz="0" w:space="0" w:color="auto"/>
        <w:left w:val="none" w:sz="0" w:space="0" w:color="auto"/>
        <w:bottom w:val="none" w:sz="0" w:space="0" w:color="auto"/>
        <w:right w:val="none" w:sz="0" w:space="0" w:color="auto"/>
      </w:divBdr>
    </w:div>
    <w:div w:id="1065647546">
      <w:bodyDiv w:val="1"/>
      <w:marLeft w:val="0"/>
      <w:marRight w:val="0"/>
      <w:marTop w:val="0"/>
      <w:marBottom w:val="0"/>
      <w:divBdr>
        <w:top w:val="none" w:sz="0" w:space="0" w:color="auto"/>
        <w:left w:val="none" w:sz="0" w:space="0" w:color="auto"/>
        <w:bottom w:val="none" w:sz="0" w:space="0" w:color="auto"/>
        <w:right w:val="none" w:sz="0" w:space="0" w:color="auto"/>
      </w:divBdr>
    </w:div>
    <w:div w:id="1110316063">
      <w:bodyDiv w:val="1"/>
      <w:marLeft w:val="0"/>
      <w:marRight w:val="0"/>
      <w:marTop w:val="0"/>
      <w:marBottom w:val="0"/>
      <w:divBdr>
        <w:top w:val="none" w:sz="0" w:space="0" w:color="auto"/>
        <w:left w:val="none" w:sz="0" w:space="0" w:color="auto"/>
        <w:bottom w:val="none" w:sz="0" w:space="0" w:color="auto"/>
        <w:right w:val="none" w:sz="0" w:space="0" w:color="auto"/>
      </w:divBdr>
    </w:div>
    <w:div w:id="1148325467">
      <w:bodyDiv w:val="1"/>
      <w:marLeft w:val="0"/>
      <w:marRight w:val="0"/>
      <w:marTop w:val="0"/>
      <w:marBottom w:val="0"/>
      <w:divBdr>
        <w:top w:val="none" w:sz="0" w:space="0" w:color="auto"/>
        <w:left w:val="none" w:sz="0" w:space="0" w:color="auto"/>
        <w:bottom w:val="none" w:sz="0" w:space="0" w:color="auto"/>
        <w:right w:val="none" w:sz="0" w:space="0" w:color="auto"/>
      </w:divBdr>
    </w:div>
    <w:div w:id="1284996070">
      <w:bodyDiv w:val="1"/>
      <w:marLeft w:val="0"/>
      <w:marRight w:val="0"/>
      <w:marTop w:val="0"/>
      <w:marBottom w:val="0"/>
      <w:divBdr>
        <w:top w:val="none" w:sz="0" w:space="0" w:color="auto"/>
        <w:left w:val="none" w:sz="0" w:space="0" w:color="auto"/>
        <w:bottom w:val="none" w:sz="0" w:space="0" w:color="auto"/>
        <w:right w:val="none" w:sz="0" w:space="0" w:color="auto"/>
      </w:divBdr>
    </w:div>
    <w:div w:id="1301182355">
      <w:bodyDiv w:val="1"/>
      <w:marLeft w:val="0"/>
      <w:marRight w:val="0"/>
      <w:marTop w:val="0"/>
      <w:marBottom w:val="0"/>
      <w:divBdr>
        <w:top w:val="none" w:sz="0" w:space="0" w:color="auto"/>
        <w:left w:val="none" w:sz="0" w:space="0" w:color="auto"/>
        <w:bottom w:val="none" w:sz="0" w:space="0" w:color="auto"/>
        <w:right w:val="none" w:sz="0" w:space="0" w:color="auto"/>
      </w:divBdr>
    </w:div>
    <w:div w:id="1363171261">
      <w:bodyDiv w:val="1"/>
      <w:marLeft w:val="0"/>
      <w:marRight w:val="0"/>
      <w:marTop w:val="0"/>
      <w:marBottom w:val="0"/>
      <w:divBdr>
        <w:top w:val="none" w:sz="0" w:space="0" w:color="auto"/>
        <w:left w:val="none" w:sz="0" w:space="0" w:color="auto"/>
        <w:bottom w:val="none" w:sz="0" w:space="0" w:color="auto"/>
        <w:right w:val="none" w:sz="0" w:space="0" w:color="auto"/>
      </w:divBdr>
    </w:div>
    <w:div w:id="1396203081">
      <w:bodyDiv w:val="1"/>
      <w:marLeft w:val="0"/>
      <w:marRight w:val="0"/>
      <w:marTop w:val="0"/>
      <w:marBottom w:val="0"/>
      <w:divBdr>
        <w:top w:val="none" w:sz="0" w:space="0" w:color="auto"/>
        <w:left w:val="none" w:sz="0" w:space="0" w:color="auto"/>
        <w:bottom w:val="none" w:sz="0" w:space="0" w:color="auto"/>
        <w:right w:val="none" w:sz="0" w:space="0" w:color="auto"/>
      </w:divBdr>
    </w:div>
    <w:div w:id="1430538350">
      <w:bodyDiv w:val="1"/>
      <w:marLeft w:val="0"/>
      <w:marRight w:val="0"/>
      <w:marTop w:val="0"/>
      <w:marBottom w:val="0"/>
      <w:divBdr>
        <w:top w:val="none" w:sz="0" w:space="0" w:color="auto"/>
        <w:left w:val="none" w:sz="0" w:space="0" w:color="auto"/>
        <w:bottom w:val="none" w:sz="0" w:space="0" w:color="auto"/>
        <w:right w:val="none" w:sz="0" w:space="0" w:color="auto"/>
      </w:divBdr>
    </w:div>
    <w:div w:id="1444611628">
      <w:bodyDiv w:val="1"/>
      <w:marLeft w:val="0"/>
      <w:marRight w:val="0"/>
      <w:marTop w:val="0"/>
      <w:marBottom w:val="0"/>
      <w:divBdr>
        <w:top w:val="none" w:sz="0" w:space="0" w:color="auto"/>
        <w:left w:val="none" w:sz="0" w:space="0" w:color="auto"/>
        <w:bottom w:val="none" w:sz="0" w:space="0" w:color="auto"/>
        <w:right w:val="none" w:sz="0" w:space="0" w:color="auto"/>
      </w:divBdr>
    </w:div>
    <w:div w:id="1487547579">
      <w:bodyDiv w:val="1"/>
      <w:marLeft w:val="0"/>
      <w:marRight w:val="0"/>
      <w:marTop w:val="0"/>
      <w:marBottom w:val="0"/>
      <w:divBdr>
        <w:top w:val="none" w:sz="0" w:space="0" w:color="auto"/>
        <w:left w:val="none" w:sz="0" w:space="0" w:color="auto"/>
        <w:bottom w:val="none" w:sz="0" w:space="0" w:color="auto"/>
        <w:right w:val="none" w:sz="0" w:space="0" w:color="auto"/>
      </w:divBdr>
    </w:div>
    <w:div w:id="1523780642">
      <w:bodyDiv w:val="1"/>
      <w:marLeft w:val="0"/>
      <w:marRight w:val="0"/>
      <w:marTop w:val="0"/>
      <w:marBottom w:val="0"/>
      <w:divBdr>
        <w:top w:val="none" w:sz="0" w:space="0" w:color="auto"/>
        <w:left w:val="none" w:sz="0" w:space="0" w:color="auto"/>
        <w:bottom w:val="none" w:sz="0" w:space="0" w:color="auto"/>
        <w:right w:val="none" w:sz="0" w:space="0" w:color="auto"/>
      </w:divBdr>
    </w:div>
    <w:div w:id="1588032847">
      <w:bodyDiv w:val="1"/>
      <w:marLeft w:val="0"/>
      <w:marRight w:val="0"/>
      <w:marTop w:val="0"/>
      <w:marBottom w:val="0"/>
      <w:divBdr>
        <w:top w:val="none" w:sz="0" w:space="0" w:color="auto"/>
        <w:left w:val="none" w:sz="0" w:space="0" w:color="auto"/>
        <w:bottom w:val="none" w:sz="0" w:space="0" w:color="auto"/>
        <w:right w:val="none" w:sz="0" w:space="0" w:color="auto"/>
      </w:divBdr>
    </w:div>
    <w:div w:id="1756241486">
      <w:bodyDiv w:val="1"/>
      <w:marLeft w:val="0"/>
      <w:marRight w:val="0"/>
      <w:marTop w:val="0"/>
      <w:marBottom w:val="0"/>
      <w:divBdr>
        <w:top w:val="none" w:sz="0" w:space="0" w:color="auto"/>
        <w:left w:val="none" w:sz="0" w:space="0" w:color="auto"/>
        <w:bottom w:val="none" w:sz="0" w:space="0" w:color="auto"/>
        <w:right w:val="none" w:sz="0" w:space="0" w:color="auto"/>
      </w:divBdr>
    </w:div>
    <w:div w:id="1834956550">
      <w:bodyDiv w:val="1"/>
      <w:marLeft w:val="0"/>
      <w:marRight w:val="0"/>
      <w:marTop w:val="0"/>
      <w:marBottom w:val="0"/>
      <w:divBdr>
        <w:top w:val="none" w:sz="0" w:space="0" w:color="auto"/>
        <w:left w:val="none" w:sz="0" w:space="0" w:color="auto"/>
        <w:bottom w:val="none" w:sz="0" w:space="0" w:color="auto"/>
        <w:right w:val="none" w:sz="0" w:space="0" w:color="auto"/>
      </w:divBdr>
    </w:div>
    <w:div w:id="1973633706">
      <w:bodyDiv w:val="1"/>
      <w:marLeft w:val="0"/>
      <w:marRight w:val="0"/>
      <w:marTop w:val="0"/>
      <w:marBottom w:val="0"/>
      <w:divBdr>
        <w:top w:val="none" w:sz="0" w:space="0" w:color="auto"/>
        <w:left w:val="none" w:sz="0" w:space="0" w:color="auto"/>
        <w:bottom w:val="none" w:sz="0" w:space="0" w:color="auto"/>
        <w:right w:val="none" w:sz="0" w:space="0" w:color="auto"/>
      </w:divBdr>
    </w:div>
    <w:div w:id="1986465306">
      <w:bodyDiv w:val="1"/>
      <w:marLeft w:val="0"/>
      <w:marRight w:val="0"/>
      <w:marTop w:val="0"/>
      <w:marBottom w:val="0"/>
      <w:divBdr>
        <w:top w:val="none" w:sz="0" w:space="0" w:color="auto"/>
        <w:left w:val="none" w:sz="0" w:space="0" w:color="auto"/>
        <w:bottom w:val="none" w:sz="0" w:space="0" w:color="auto"/>
        <w:right w:val="none" w:sz="0" w:space="0" w:color="auto"/>
      </w:divBdr>
    </w:div>
    <w:div w:id="2056080101">
      <w:bodyDiv w:val="1"/>
      <w:marLeft w:val="0"/>
      <w:marRight w:val="0"/>
      <w:marTop w:val="0"/>
      <w:marBottom w:val="0"/>
      <w:divBdr>
        <w:top w:val="none" w:sz="0" w:space="0" w:color="auto"/>
        <w:left w:val="none" w:sz="0" w:space="0" w:color="auto"/>
        <w:bottom w:val="none" w:sz="0" w:space="0" w:color="auto"/>
        <w:right w:val="none" w:sz="0" w:space="0" w:color="auto"/>
      </w:divBdr>
    </w:div>
    <w:div w:id="206217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B925B5B197580408117BBF0602E3E2E" ma:contentTypeVersion="15" ma:contentTypeDescription="Crear nuevo documento." ma:contentTypeScope="" ma:versionID="85c5c9d22b9583e392886ade3c5c9ed9">
  <xsd:schema xmlns:xsd="http://www.w3.org/2001/XMLSchema" xmlns:xs="http://www.w3.org/2001/XMLSchema" xmlns:p="http://schemas.microsoft.com/office/2006/metadata/properties" xmlns:ns2="7ed2feb8-0f39-460c-8ce2-c9fa6dbbca38" xmlns:ns3="15ee4c61-c8b0-4b12-9c43-d8fef0b1e64c" targetNamespace="http://schemas.microsoft.com/office/2006/metadata/properties" ma:root="true" ma:fieldsID="43224bdffb1a7a98170bbf2b81ab7d7c" ns2:_="" ns3:_="">
    <xsd:import namespace="7ed2feb8-0f39-460c-8ce2-c9fa6dbbca38"/>
    <xsd:import namespace="15ee4c61-c8b0-4b12-9c43-d8fef0b1e64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2feb8-0f39-460c-8ce2-c9fa6dbbc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fbc45cb4-c21a-49bb-988e-5b402dd8a9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5ee4c61-c8b0-4b12-9c43-d8fef0b1e64c"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cf5f9929-218a-40ff-bef7-8267a2d40ea0}" ma:internalName="TaxCatchAll" ma:showField="CatchAllData" ma:web="15ee4c61-c8b0-4b12-9c43-d8fef0b1e6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d2feb8-0f39-460c-8ce2-c9fa6dbbca38">
      <Terms xmlns="http://schemas.microsoft.com/office/infopath/2007/PartnerControls"/>
    </lcf76f155ced4ddcb4097134ff3c332f>
    <TaxCatchAll xmlns="15ee4c61-c8b0-4b12-9c43-d8fef0b1e64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D7DC2-6C62-4377-A582-F6256D595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2feb8-0f39-460c-8ce2-c9fa6dbbca38"/>
    <ds:schemaRef ds:uri="15ee4c61-c8b0-4b12-9c43-d8fef0b1e6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438168-643D-4D7E-91FD-E53372AACA0B}">
  <ds:schemaRefs>
    <ds:schemaRef ds:uri="http://schemas.microsoft.com/sharepoint/v3/contenttype/forms"/>
  </ds:schemaRefs>
</ds:datastoreItem>
</file>

<file path=customXml/itemProps3.xml><?xml version="1.0" encoding="utf-8"?>
<ds:datastoreItem xmlns:ds="http://schemas.openxmlformats.org/officeDocument/2006/customXml" ds:itemID="{36245039-0D12-4A8B-BDCE-F3D16280D5C2}">
  <ds:schemaRefs>
    <ds:schemaRef ds:uri="http://schemas.microsoft.com/office/2006/metadata/properties"/>
    <ds:schemaRef ds:uri="http://schemas.microsoft.com/office/infopath/2007/PartnerControls"/>
    <ds:schemaRef ds:uri="7ed2feb8-0f39-460c-8ce2-c9fa6dbbca38"/>
    <ds:schemaRef ds:uri="15ee4c61-c8b0-4b12-9c43-d8fef0b1e64c"/>
  </ds:schemaRefs>
</ds:datastoreItem>
</file>

<file path=customXml/itemProps4.xml><?xml version="1.0" encoding="utf-8"?>
<ds:datastoreItem xmlns:ds="http://schemas.openxmlformats.org/officeDocument/2006/customXml" ds:itemID="{9DA6FAAF-E5C3-46F8-BBED-D76C28D35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8114</Words>
  <Characters>44629</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mavdt</Company>
  <LinksUpToDate>false</LinksUpToDate>
  <CharactersWithSpaces>52638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JBARRETO</dc:creator>
  <cp:lastModifiedBy>Lilian Andrea Sanabria Abdalá</cp:lastModifiedBy>
  <cp:revision>3</cp:revision>
  <cp:lastPrinted>2024-12-13T00:46:00Z</cp:lastPrinted>
  <dcterms:created xsi:type="dcterms:W3CDTF">2025-09-16T23:00:00Z</dcterms:created>
  <dcterms:modified xsi:type="dcterms:W3CDTF">2025-09-17T18:24:00Z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0x0101002B925B5B197580408117BBF0602E3E2E</vt:lpwstr>
  </property>
  <property fmtid="{D5CDD505-2E9C-101B-9397-08002B2CF9AE}" pid="3" name="Order">
    <vt:r8>4671900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